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30232B">
        <w:rPr>
          <w:rFonts w:asciiTheme="minorHAnsi" w:hAnsiTheme="minorHAnsi" w:cs="Arial"/>
          <w:b/>
          <w:sz w:val="28"/>
          <w:szCs w:val="28"/>
        </w:rPr>
        <w:t>1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327F42" w:rsidRDefault="00327F42" w:rsidP="00327F4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PER L’APPALTO DEL SERVIZIO </w:t>
            </w:r>
            <w:proofErr w:type="spellStart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 COPERTURA ASSICURATIVA DELLA CITTA’ METROPOLITANA </w:t>
            </w:r>
            <w:proofErr w:type="spellStart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 w:rsidRPr="00327F42">
              <w:rPr>
                <w:rFonts w:asciiTheme="minorHAnsi" w:hAnsiTheme="minorHAnsi" w:cs="Calibri"/>
                <w:b/>
                <w:sz w:val="28"/>
                <w:szCs w:val="28"/>
              </w:rPr>
              <w:t xml:space="preserve"> VENEZIA, PERIODO 28/02/2019 – 28/02/2024.</w:t>
            </w:r>
            <w:r w:rsidR="00557092" w:rsidRPr="00327F42">
              <w:rPr>
                <w:rFonts w:asciiTheme="minorHAnsi" w:hAnsiTheme="minorHAnsi" w:cs="Calibri"/>
                <w:i/>
                <w:sz w:val="28"/>
                <w:szCs w:val="28"/>
              </w:rPr>
              <w:t xml:space="preserve"> 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1 – </w:t>
      </w:r>
      <w:r w:rsidR="00C13155">
        <w:rPr>
          <w:rFonts w:asciiTheme="minorHAnsi" w:hAnsiTheme="minorHAnsi"/>
          <w:b/>
          <w:sz w:val="28"/>
          <w:szCs w:val="28"/>
        </w:rPr>
        <w:t xml:space="preserve">ALL </w:t>
      </w:r>
      <w:r w:rsidR="0084722D">
        <w:rPr>
          <w:rFonts w:asciiTheme="minorHAnsi" w:hAnsiTheme="minorHAnsi"/>
          <w:b/>
          <w:sz w:val="28"/>
          <w:szCs w:val="28"/>
        </w:rPr>
        <w:t>RISKS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1A1CFE" w:rsidRPr="005A786C" w:rsidRDefault="001A1CFE" w:rsidP="001A1CFE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lastRenderedPageBreak/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1A1CFE" w:rsidRPr="005A786C" w:rsidRDefault="001A1CFE" w:rsidP="001A1CFE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8B7E61" w:rsidRPr="004A2118" w:rsidRDefault="008B7E61" w:rsidP="003B2C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Pr="004A2118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567"/>
        <w:gridCol w:w="1985"/>
        <w:gridCol w:w="4819"/>
        <w:gridCol w:w="993"/>
        <w:gridCol w:w="1701"/>
      </w:tblGrid>
      <w:tr w:rsidR="008A60B9" w:rsidRPr="00737FFE" w:rsidTr="00C44F08">
        <w:trPr>
          <w:trHeight w:val="388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ELEMENTI QUANTITATIVI  - </w:t>
            </w:r>
            <w:proofErr w:type="spellStart"/>
            <w:r w:rsidRPr="00737FFE">
              <w:rPr>
                <w:rFonts w:ascii="Garamond" w:hAnsi="Garamond"/>
                <w:b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737FFE">
              <w:rPr>
                <w:rFonts w:ascii="Garamond" w:hAnsi="Garamond"/>
                <w:b/>
                <w:color w:val="000000"/>
                <w:sz w:val="20"/>
                <w:szCs w:val="20"/>
                <w:lang w:val="it-IT"/>
              </w:rPr>
              <w:t xml:space="preserve"> punti 70</w:t>
            </w:r>
            <w:r w:rsidRPr="00737FFE">
              <w:rPr>
                <w:rFonts w:ascii="Garamond" w:hAnsi="Garamond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327F42" w:rsidRPr="00327F42" w:rsidTr="00C44F08">
        <w:trPr>
          <w:trHeight w:val="902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327F42" w:rsidRPr="00327F42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CRITERI </w:t>
            </w:r>
            <w:proofErr w:type="spellStart"/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>DI</w:t>
            </w:r>
            <w:proofErr w:type="spellEnd"/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 VALUTAZIONE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327F42" w:rsidRPr="00327F42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SUB-CRITERI </w:t>
            </w:r>
            <w:proofErr w:type="spellStart"/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>DI</w:t>
            </w:r>
            <w:proofErr w:type="spellEnd"/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 VALUTAZIONE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PUNTI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327F42" w:rsidRPr="00327F42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>OFFERTA DEL CONCORRENTE –</w:t>
            </w:r>
            <w:r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 </w:t>
            </w:r>
            <w:r w:rsidRPr="00327F42">
              <w:rPr>
                <w:rFonts w:ascii="Garamond" w:hAnsi="Garamond"/>
                <w:b/>
                <w:sz w:val="16"/>
                <w:szCs w:val="16"/>
                <w:lang w:val="it-IT"/>
              </w:rPr>
              <w:t xml:space="preserve"> BARRARE SOLO L’OPZIONE OFFERTA</w:t>
            </w: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2 – art. 3 – durata del contratto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Opzione base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543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4 – art. 1 – spese di demolizione e sgombero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>Estensione facoltativa a)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1</w:t>
            </w: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Estensione</w:t>
            </w:r>
            <w:proofErr w:type="spellEnd"/>
            <w:r w:rsidRPr="00327F42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facoltativa</w:t>
            </w:r>
            <w:proofErr w:type="spellEnd"/>
            <w:r w:rsidRPr="00327F42">
              <w:rPr>
                <w:rFonts w:ascii="Garamond" w:hAnsi="Garamond"/>
                <w:sz w:val="20"/>
                <w:szCs w:val="20"/>
              </w:rPr>
              <w:t xml:space="preserve"> b)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1</w:t>
            </w: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Estensione</w:t>
            </w:r>
            <w:proofErr w:type="spellEnd"/>
            <w:r w:rsidRPr="00327F42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facoltativa</w:t>
            </w:r>
            <w:proofErr w:type="spellEnd"/>
            <w:r w:rsidRPr="00327F42">
              <w:rPr>
                <w:rFonts w:ascii="Garamond" w:hAnsi="Garamond"/>
                <w:sz w:val="20"/>
                <w:szCs w:val="20"/>
              </w:rPr>
              <w:t xml:space="preserve"> c)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BF19D1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F19D1">
              <w:rPr>
                <w:rFonts w:ascii="Garamond" w:hAnsi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27F42" w:rsidRPr="00BF19D1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4 – art. 27 – guasti macchine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 xml:space="preserve">Opzione base: </w:t>
            </w:r>
            <w:r w:rsidRPr="00327F42">
              <w:rPr>
                <w:rFonts w:ascii="Garamond" w:hAnsi="Garamond" w:cs="Lucida Sans Unicode"/>
                <w:color w:val="000000"/>
              </w:rPr>
              <w:t>Garanzia operativa esclusivamente per le Attrezzature Elettroniche ed Attrezzatura ad impiego mobile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F19D1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BF19D1" w:rsidTr="008A60B9">
        <w:trPr>
          <w:trHeight w:val="39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1): </w:t>
            </w:r>
            <w:r w:rsidRPr="00327F42">
              <w:rPr>
                <w:rFonts w:ascii="Garamond" w:hAnsi="Garamond" w:cs="Lucida Sans Unicode"/>
                <w:color w:val="000000"/>
                <w:sz w:val="20"/>
                <w:szCs w:val="20"/>
                <w:lang w:val="it-IT"/>
              </w:rPr>
              <w:t>Garanzia operativa per tutte le cose assicurate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BF19D1" w:rsidTr="008A60B9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BF19D1">
              <w:rPr>
                <w:rFonts w:ascii="Garamond" w:hAnsi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5 – art. 4 – mandato dei periti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>Estensione facoltativa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BF19D1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6 – franchigia frontale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>Opzione base: € 1.000,00 per sinistro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543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>Variante 1): nessuna franchigia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8A60B9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6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A60B9" w:rsidRDefault="008A60B9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 xml:space="preserve">Sezione 6 – </w:t>
            </w:r>
          </w:p>
          <w:p w:rsidR="008A60B9" w:rsidRPr="00737FFE" w:rsidRDefault="008A60B9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stop loss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0B9" w:rsidRPr="00327F42" w:rsidRDefault="008A60B9" w:rsidP="00327F42">
            <w:pPr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>Opzione base: € 75.000.000,00 annuo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A60B9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8A60B9" w:rsidRPr="00737FFE" w:rsidTr="008A60B9">
        <w:trPr>
          <w:trHeight w:val="397"/>
        </w:trPr>
        <w:tc>
          <w:tcPr>
            <w:tcW w:w="567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60B9" w:rsidRPr="00737FFE" w:rsidRDefault="008A60B9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0B9" w:rsidRPr="00327F42" w:rsidRDefault="008A60B9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>Variante 1): € 100</w:t>
            </w:r>
            <w:r w:rsidRPr="00327F42">
              <w:rPr>
                <w:rFonts w:ascii="Garamond" w:hAnsi="Garamond"/>
                <w:sz w:val="20"/>
                <w:szCs w:val="20"/>
              </w:rPr>
              <w:t xml:space="preserve">.000.000,00 </w:t>
            </w: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annuo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A60B9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8A60B9" w:rsidRPr="00737FFE" w:rsidTr="008A60B9">
        <w:trPr>
          <w:trHeight w:val="39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A60B9" w:rsidRPr="00737FFE" w:rsidRDefault="008A60B9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A60B9" w:rsidRPr="00327F42" w:rsidRDefault="008A60B9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>Variante 2): € 150</w:t>
            </w:r>
            <w:r w:rsidRPr="00327F42">
              <w:rPr>
                <w:rFonts w:ascii="Garamond" w:hAnsi="Garamond"/>
                <w:sz w:val="20"/>
                <w:szCs w:val="20"/>
              </w:rPr>
              <w:t xml:space="preserve">.000.000,00 </w:t>
            </w:r>
            <w:proofErr w:type="spellStart"/>
            <w:r w:rsidRPr="00327F42">
              <w:rPr>
                <w:rFonts w:ascii="Garamond" w:hAnsi="Garamond"/>
                <w:sz w:val="20"/>
                <w:szCs w:val="20"/>
              </w:rPr>
              <w:t>annuo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8A60B9" w:rsidRPr="00737FFE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8A60B9" w:rsidRDefault="008A60B9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</w:tbl>
    <w:p w:rsidR="00327F42" w:rsidRDefault="00327F42">
      <w:r>
        <w:br w:type="page"/>
      </w: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567"/>
        <w:gridCol w:w="1985"/>
        <w:gridCol w:w="4819"/>
        <w:gridCol w:w="993"/>
        <w:gridCol w:w="1701"/>
      </w:tblGrid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327F42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6 – spese peritali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 xml:space="preserve">Opzione base: </w:t>
            </w:r>
            <w:r w:rsidR="0056190A" w:rsidRPr="00327F42">
              <w:rPr>
                <w:rFonts w:ascii="Garamond" w:hAnsi="Garamond" w:cs="TTE5B7F8D0t00"/>
              </w:rPr>
              <w:t>€ 50.000,00 per sinistro con il limite di € 200.000,00 per anno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56190A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 xml:space="preserve">€ </w:t>
            </w:r>
            <w:r w:rsidR="0056190A">
              <w:rPr>
                <w:rFonts w:ascii="Garamond" w:hAnsi="Garamond" w:cs="TTE5B7F8D0t00"/>
                <w:sz w:val="20"/>
                <w:szCs w:val="20"/>
                <w:lang w:val="it-IT"/>
              </w:rPr>
              <w:t>7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5.000,00 per sinistro con il limite di € 200.000,00 per anno.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2):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€ 100.000,00 per sinistro con il limite di € 200.000,00 per anno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8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6 – inondazioni, alluvioni, allagamenti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autoSpaceDE w:val="0"/>
              <w:autoSpaceDN w:val="0"/>
              <w:adjustRightInd w:val="0"/>
              <w:ind w:left="86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 xml:space="preserve">Opzione base: </w:t>
            </w:r>
            <w:r w:rsidRPr="00327F42">
              <w:rPr>
                <w:rFonts w:ascii="Garamond" w:hAnsi="Garamond" w:cs="TTE5B7F8D0t00"/>
              </w:rPr>
              <w:t xml:space="preserve">limite di indennizzo </w:t>
            </w:r>
            <w:r w:rsidRPr="00327F42">
              <w:rPr>
                <w:rFonts w:ascii="Garamond" w:hAnsi="Garamond" w:cs="Lucida Sans Unicode"/>
              </w:rPr>
              <w:t>€ 2.500.000,00 per sinistro anno – franchigia € 7.500,00 per sinistro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 xml:space="preserve">limite di indennizzo </w:t>
            </w:r>
            <w:r w:rsidRPr="00327F42">
              <w:rPr>
                <w:rFonts w:ascii="Garamond" w:hAnsi="Garamond" w:cs="Lucida Sans Unicode"/>
                <w:sz w:val="20"/>
                <w:szCs w:val="20"/>
                <w:lang w:val="it-IT"/>
              </w:rPr>
              <w:t>€ 5.000.000,00 per sinistro anno – franchigia € 15.000,00 per sinistro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 xml:space="preserve">limite di indennizzo </w:t>
            </w:r>
            <w:r w:rsidRPr="00327F42">
              <w:rPr>
                <w:rFonts w:ascii="Garamond" w:hAnsi="Garamond" w:cs="Lucida Sans Unicode"/>
                <w:sz w:val="20"/>
                <w:szCs w:val="20"/>
                <w:lang w:val="it-IT"/>
              </w:rPr>
              <w:t>€ 10.000.000,00 per sinistro anno – franchigia € 30.000,00 per sinistro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9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Sezione 6 – terremoto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327F42">
              <w:rPr>
                <w:rFonts w:ascii="Garamond" w:hAnsi="Garamond"/>
              </w:rPr>
              <w:t xml:space="preserve">Opzione base: </w:t>
            </w:r>
            <w:r w:rsidRPr="00327F42">
              <w:rPr>
                <w:rFonts w:ascii="Garamond" w:hAnsi="Garamond" w:cs="TTE5B7F8D0t00"/>
              </w:rPr>
              <w:t>€ 5.000.000,00</w:t>
            </w:r>
            <w:r w:rsidRPr="00327F42">
              <w:rPr>
                <w:rFonts w:ascii="Garamond" w:hAnsi="Garamond" w:cs="Lucida Sans Unicode"/>
              </w:rPr>
              <w:t xml:space="preserve"> per sinistro per anno – franchigia </w:t>
            </w:r>
            <w:r w:rsidRPr="00327F42">
              <w:rPr>
                <w:rFonts w:ascii="Garamond" w:hAnsi="Garamond" w:cs="TTE5B7F8D0t00"/>
              </w:rPr>
              <w:t>€ 10.000,00 per singolo fabbricato danneggiato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1):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€ 20.000.000,00</w:t>
            </w:r>
            <w:r w:rsidRPr="00327F42">
              <w:rPr>
                <w:rFonts w:ascii="Garamond" w:hAnsi="Garamond" w:cs="Lucida Sans Unicode"/>
                <w:sz w:val="20"/>
                <w:szCs w:val="20"/>
                <w:lang w:val="it-IT"/>
              </w:rPr>
              <w:t xml:space="preserve"> per sinistro per anno – franchigia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€ 15.000,00 per singolo fabbricato danneggiato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327F42" w:rsidRPr="00737FFE" w:rsidTr="008A60B9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327F42" w:rsidRDefault="00327F42" w:rsidP="00327F42">
            <w:pPr>
              <w:pStyle w:val="Standard"/>
              <w:spacing w:after="0" w:line="320" w:lineRule="exact"/>
              <w:ind w:left="86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327F42">
              <w:rPr>
                <w:rFonts w:ascii="Garamond" w:hAnsi="Garamond"/>
                <w:sz w:val="20"/>
                <w:szCs w:val="20"/>
                <w:lang w:val="it-IT"/>
              </w:rPr>
              <w:t xml:space="preserve">Variante 2):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€ 40.000.000,00</w:t>
            </w:r>
            <w:r w:rsidRPr="00327F42">
              <w:rPr>
                <w:rFonts w:ascii="Garamond" w:hAnsi="Garamond" w:cs="Lucida Sans Unicode"/>
                <w:sz w:val="20"/>
                <w:szCs w:val="20"/>
                <w:lang w:val="it-IT"/>
              </w:rPr>
              <w:t xml:space="preserve"> per sinistro per anno – franchigia </w:t>
            </w:r>
            <w:r w:rsidRPr="00327F42">
              <w:rPr>
                <w:rFonts w:ascii="Garamond" w:hAnsi="Garamond" w:cs="TTE5B7F8D0t00"/>
                <w:sz w:val="20"/>
                <w:szCs w:val="20"/>
                <w:lang w:val="it-IT"/>
              </w:rPr>
              <w:t>€ 20.000,00 per singolo fabbricato danneggiato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327F42" w:rsidRPr="00737FFE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327F42" w:rsidRDefault="00327F42" w:rsidP="00801EB9">
            <w:pPr>
              <w:pStyle w:val="Standard"/>
              <w:spacing w:after="0" w:line="320" w:lineRule="exact"/>
              <w:ind w:left="86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</w:tbl>
    <w:p w:rsidR="00327F42" w:rsidRDefault="00327F42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Default="001A1CFE" w:rsidP="0052545A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>
        <w:rPr>
          <w:rFonts w:asciiTheme="minorHAnsi" w:hAnsiTheme="minorHAnsi"/>
          <w:b/>
          <w:sz w:val="22"/>
          <w:szCs w:val="22"/>
        </w:rPr>
        <w:t>max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1A1CFE" w:rsidRPr="004A2118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Pr="005369BF" w:rsidRDefault="001A1CFE" w:rsidP="001A1CFE">
      <w:pPr>
        <w:pStyle w:val="western"/>
      </w:pPr>
      <w:r w:rsidRPr="005369BF">
        <w:rPr>
          <w:rFonts w:ascii="Calibri" w:hAnsi="Calibri"/>
          <w:b/>
          <w:bCs/>
          <w:i/>
          <w:iCs/>
        </w:rPr>
        <w:t>una percentuale di ribasso unico del (in cifre)</w:t>
      </w:r>
      <w:r w:rsidRPr="005369BF">
        <w:rPr>
          <w:rFonts w:ascii="Calibri" w:hAnsi="Calibri"/>
          <w:b/>
          <w:bCs/>
        </w:rPr>
        <w:t xml:space="preserve"> </w:t>
      </w:r>
      <w:r w:rsidRPr="005369BF">
        <w:rPr>
          <w:rFonts w:ascii="Calibri" w:hAnsi="Calibri"/>
          <w:b/>
          <w:bCs/>
          <w:i/>
          <w:iCs/>
        </w:rPr>
        <w:t xml:space="preserve">_______,______%, </w:t>
      </w:r>
    </w:p>
    <w:p w:rsidR="001A1CFE" w:rsidRPr="005369BF" w:rsidRDefault="001A1CFE" w:rsidP="001A1CFE">
      <w:pPr>
        <w:pStyle w:val="western"/>
      </w:pPr>
      <w:r w:rsidRPr="005369BF">
        <w:rPr>
          <w:rFonts w:ascii="Calibri" w:hAnsi="Calibri"/>
          <w:b/>
          <w:bCs/>
          <w:i/>
          <w:iCs/>
        </w:rPr>
        <w:t>diconsi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 xml:space="preserve">per cento, rispetto al premio lordo a base di gara pari ad € </w:t>
      </w:r>
      <w:r w:rsidR="008A60B9">
        <w:rPr>
          <w:rFonts w:ascii="Calibri" w:hAnsi="Calibri"/>
          <w:b/>
          <w:bCs/>
          <w:i/>
          <w:iCs/>
        </w:rPr>
        <w:t>1.700</w:t>
      </w:r>
      <w:r w:rsidRPr="005369BF">
        <w:rPr>
          <w:rFonts w:ascii="Calibri" w:hAnsi="Calibri"/>
          <w:b/>
          <w:bCs/>
          <w:i/>
          <w:iCs/>
        </w:rPr>
        <w:t>.000,00</w:t>
      </w:r>
    </w:p>
    <w:p w:rsidR="001A1CFE" w:rsidRPr="005369BF" w:rsidRDefault="001A1CFE" w:rsidP="001A1CFE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1A1CFE" w:rsidRPr="004A2118" w:rsidRDefault="001A1CFE" w:rsidP="001A1CFE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52545A" w:rsidRDefault="0052545A">
      <w:pPr>
        <w:spacing w:after="200" w:line="276" w:lineRule="auto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/>
          <w:b/>
          <w:snapToGrid w:val="0"/>
          <w:color w:val="000000"/>
          <w:sz w:val="22"/>
          <w:szCs w:val="22"/>
        </w:rPr>
        <w:br w:type="page"/>
      </w:r>
    </w:p>
    <w:p w:rsidR="001A1CFE" w:rsidRDefault="001A1CFE" w:rsidP="001A1CFE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lastRenderedPageBreak/>
        <w:t>CALCOLO DEL PREMIO (compilare in ogni sua parte)</w:t>
      </w:r>
    </w:p>
    <w:p w:rsidR="0052545A" w:rsidRDefault="0052545A" w:rsidP="001A1CFE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27"/>
        <w:gridCol w:w="2126"/>
        <w:gridCol w:w="1134"/>
        <w:gridCol w:w="1559"/>
      </w:tblGrid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</w:rPr>
            </w:pPr>
            <w:r w:rsidRPr="000447DF">
              <w:rPr>
                <w:rFonts w:ascii="Calibri" w:hAnsi="Calibri" w:cs="Lucida Sans Unicode"/>
                <w:b/>
              </w:rPr>
              <w:t>Partita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</w:rPr>
            </w:pPr>
            <w:r w:rsidRPr="000447DF">
              <w:rPr>
                <w:rFonts w:ascii="Calibri" w:hAnsi="Calibri" w:cs="Lucida Sans Unicode"/>
                <w:b/>
              </w:rPr>
              <w:t>Enti Assicurati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</w:rPr>
            </w:pPr>
            <w:r w:rsidRPr="000447DF">
              <w:rPr>
                <w:rFonts w:ascii="Calibri" w:hAnsi="Calibri" w:cs="Lucida Sans Unicode"/>
                <w:b/>
              </w:rPr>
              <w:t>Somme Assicurate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</w:rPr>
            </w:pPr>
            <w:r w:rsidRPr="000447DF">
              <w:rPr>
                <w:rFonts w:ascii="Calibri" w:hAnsi="Calibri" w:cs="Lucida Sans Unicode"/>
                <w:b/>
              </w:rPr>
              <w:t>Tasso Lordo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</w:rPr>
            </w:pPr>
            <w:r w:rsidRPr="000447DF">
              <w:rPr>
                <w:rFonts w:ascii="Calibri" w:hAnsi="Calibri" w:cs="Lucida Sans Unicode"/>
                <w:b/>
              </w:rPr>
              <w:t>Premio Lordo Annuo Euro</w:t>
            </w: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Fabbricati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TTE5B7F8D0t00"/>
              </w:rPr>
              <w:t>1.218.276.000,00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Fabbricati storici/vincolati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TTE5B7F8D0t00"/>
              </w:rPr>
              <w:t>343.616.000,00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>Contenuto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TTE5B7F8D0t00"/>
              </w:rPr>
              <w:t>17.774.000,00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>Fabbricati e Contenuto extra stima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Lucida Sans Unicode"/>
              </w:rPr>
              <w:t>5.000.000,00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</w:rPr>
            </w:pPr>
            <w:r w:rsidRPr="000447DF">
              <w:rPr>
                <w:rFonts w:ascii="Calibri" w:hAnsi="Calibri" w:cs="Lucida Sans Unicode"/>
              </w:rPr>
              <w:t>Spese demolizione e sgombero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Lucida Sans Unicode"/>
              </w:rPr>
              <w:t>3.000.000,00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</w:rPr>
            </w:pPr>
            <w:r w:rsidRPr="000447DF">
              <w:rPr>
                <w:rFonts w:ascii="Calibri" w:hAnsi="Calibri" w:cs="Lucida Sans Unicode"/>
              </w:rPr>
              <w:t>Ricorso Terzi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Lucida Sans Unicode"/>
              </w:rPr>
              <w:t>5.000.000,00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</w:rPr>
            </w:pPr>
            <w:r w:rsidRPr="000447DF">
              <w:rPr>
                <w:rFonts w:ascii="Calibri" w:hAnsi="Calibri" w:cs="Lucida Sans Unicode"/>
              </w:rPr>
              <w:t>Ricostruzione archivi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Lucida Sans Unicode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A60B9">
            <w:pPr>
              <w:numPr>
                <w:ilvl w:val="0"/>
                <w:numId w:val="17"/>
              </w:numPr>
              <w:tabs>
                <w:tab w:val="center" w:pos="8306"/>
              </w:tabs>
              <w:spacing w:after="120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</w:rPr>
            </w:pPr>
            <w:r w:rsidRPr="000447DF">
              <w:rPr>
                <w:rFonts w:ascii="Calibri" w:hAnsi="Calibri" w:cs="Lucida Sans Unicode"/>
              </w:rPr>
              <w:t xml:space="preserve">(Sezione 3, Art. 21 Bis)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8A60B9" w:rsidRDefault="008A60B9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</w:rPr>
            </w:pPr>
            <w:r w:rsidRPr="008A60B9">
              <w:rPr>
                <w:rFonts w:ascii="Calibri" w:hAnsi="Calibri" w:cs="Lucida Sans Unicode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  <w:tr w:rsidR="008A60B9" w:rsidRPr="000447DF" w:rsidTr="00801EB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B9" w:rsidRPr="000447DF" w:rsidRDefault="008A60B9" w:rsidP="00801EB9">
            <w:pPr>
              <w:tabs>
                <w:tab w:val="center" w:pos="8306"/>
              </w:tabs>
              <w:spacing w:after="120"/>
              <w:jc w:val="both"/>
              <w:rPr>
                <w:rFonts w:ascii="Calibri" w:hAnsi="Calibri" w:cs="Lucida Sans Unicode"/>
              </w:rPr>
            </w:pPr>
            <w:r w:rsidRPr="000447DF">
              <w:rPr>
                <w:rFonts w:ascii="Calibri" w:hAnsi="Calibri" w:cs="Lucida Sans Unicode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B9" w:rsidRPr="008A60B9" w:rsidRDefault="00163366" w:rsidP="00801EB9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</w:rPr>
            </w:pPr>
            <w:r w:rsidRPr="008A60B9">
              <w:rPr>
                <w:rFonts w:ascii="Calibri" w:hAnsi="Calibri" w:cs="Lucida Sans Unicode"/>
                <w:color w:val="000000"/>
              </w:rPr>
              <w:fldChar w:fldCharType="begin"/>
            </w:r>
            <w:r w:rsidR="008A60B9" w:rsidRPr="008A60B9">
              <w:rPr>
                <w:rFonts w:ascii="Calibri" w:hAnsi="Calibri" w:cs="Lucida Sans Unicode"/>
                <w:color w:val="000000"/>
              </w:rPr>
              <w:instrText xml:space="preserve"> =SUM(ABOVE) </w:instrText>
            </w:r>
            <w:r w:rsidRPr="008A60B9">
              <w:rPr>
                <w:rFonts w:ascii="Calibri" w:hAnsi="Calibri" w:cs="Lucida Sans Unicode"/>
                <w:color w:val="000000"/>
              </w:rPr>
              <w:fldChar w:fldCharType="separate"/>
            </w:r>
            <w:r w:rsidR="008A60B9" w:rsidRPr="008A60B9">
              <w:rPr>
                <w:rFonts w:ascii="Calibri" w:hAnsi="Calibri" w:cs="Lucida Sans Unicode"/>
                <w:noProof/>
                <w:color w:val="000000"/>
              </w:rPr>
              <w:t>1.593.266.000</w:t>
            </w:r>
            <w:r w:rsidRPr="008A60B9">
              <w:rPr>
                <w:rFonts w:ascii="Calibri" w:hAnsi="Calibri" w:cs="Lucida Sans Unicode"/>
                <w:color w:val="000000"/>
              </w:rPr>
              <w:fldChar w:fldCharType="end"/>
            </w:r>
            <w:r w:rsidR="008A60B9" w:rsidRPr="008A60B9">
              <w:rPr>
                <w:rFonts w:ascii="Calibri" w:hAnsi="Calibri" w:cs="Lucida Sans Unicode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9" w:rsidRPr="000447DF" w:rsidRDefault="008A60B9" w:rsidP="00801EB9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</w:rPr>
            </w:pPr>
          </w:p>
        </w:tc>
      </w:tr>
    </w:tbl>
    <w:p w:rsidR="001A1CFE" w:rsidRDefault="001A1CFE" w:rsidP="001A1CFE">
      <w:pPr>
        <w:jc w:val="both"/>
        <w:rPr>
          <w:rFonts w:ascii="Calibri" w:hAnsi="Calibri" w:cs="Lucida Sans Unicode"/>
          <w:b/>
          <w:color w:val="000000"/>
          <w:sz w:val="22"/>
          <w:szCs w:val="22"/>
        </w:rPr>
      </w:pPr>
    </w:p>
    <w:p w:rsidR="008A60B9" w:rsidRPr="000447DF" w:rsidRDefault="008A60B9" w:rsidP="008A60B9">
      <w:pPr>
        <w:rPr>
          <w:rFonts w:ascii="Calibri" w:hAnsi="Calibri" w:cs="Lucida Sans Unicode"/>
        </w:rPr>
      </w:pPr>
      <w:r w:rsidRPr="000447DF">
        <w:rPr>
          <w:rFonts w:ascii="Calibri" w:hAnsi="Calibri" w:cs="Lucida Sans Unicode"/>
        </w:rPr>
        <w:t>Scomposizione del premio</w:t>
      </w:r>
      <w:r>
        <w:rPr>
          <w:rFonts w:ascii="Calibri" w:hAnsi="Calibri" w:cs="Lucida Sans Unicode"/>
        </w:rPr>
        <w:t xml:space="preserve"> </w:t>
      </w:r>
      <w:r w:rsidRPr="008A60B9">
        <w:rPr>
          <w:rFonts w:ascii="Calibri" w:hAnsi="Calibri" w:cs="Lucida Sans Unicode"/>
          <w:b/>
        </w:rPr>
        <w:t>annuo</w:t>
      </w:r>
    </w:p>
    <w:p w:rsidR="008A60B9" w:rsidRPr="000447DF" w:rsidRDefault="008A60B9" w:rsidP="008A60B9">
      <w:pPr>
        <w:rPr>
          <w:rFonts w:ascii="Calibri" w:hAnsi="Calibri" w:cs="Lucida Sans Unicode"/>
          <w:b/>
        </w:rPr>
      </w:pPr>
      <w:r w:rsidRPr="000447DF">
        <w:rPr>
          <w:rFonts w:ascii="Calibri" w:hAnsi="Calibri" w:cs="Lucida Sans Unicode"/>
          <w:b/>
        </w:rPr>
        <w:t>Incendio: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843"/>
        <w:gridCol w:w="3260"/>
      </w:tblGrid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Premio Netto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>Imposte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Lordo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</w:tr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</w:tr>
    </w:tbl>
    <w:p w:rsidR="008A60B9" w:rsidRPr="000447DF" w:rsidRDefault="008A60B9" w:rsidP="008A60B9">
      <w:pPr>
        <w:rPr>
          <w:rFonts w:ascii="Calibri" w:hAnsi="Calibri" w:cs="Lucida Sans Unicode"/>
        </w:rPr>
      </w:pPr>
    </w:p>
    <w:p w:rsidR="008A60B9" w:rsidRPr="000447DF" w:rsidRDefault="008A60B9" w:rsidP="008A60B9">
      <w:pPr>
        <w:rPr>
          <w:rFonts w:ascii="Calibri" w:hAnsi="Calibri" w:cs="Lucida Sans Unicode"/>
          <w:b/>
        </w:rPr>
      </w:pPr>
      <w:r w:rsidRPr="000447DF">
        <w:rPr>
          <w:rFonts w:ascii="Calibri" w:hAnsi="Calibri" w:cs="Lucida Sans Unicode"/>
          <w:b/>
        </w:rPr>
        <w:t>Elettronica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843"/>
        <w:gridCol w:w="3260"/>
      </w:tblGrid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Premio Netto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>Imposte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Lordo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</w:tr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</w:tr>
    </w:tbl>
    <w:p w:rsidR="008A60B9" w:rsidRPr="000447DF" w:rsidRDefault="008A60B9" w:rsidP="008A60B9">
      <w:pPr>
        <w:rPr>
          <w:rFonts w:ascii="Calibri" w:hAnsi="Calibri" w:cs="Lucida Sans Unicode"/>
          <w:b/>
        </w:rPr>
      </w:pPr>
    </w:p>
    <w:p w:rsidR="008A60B9" w:rsidRPr="000447DF" w:rsidRDefault="008A60B9" w:rsidP="008A60B9">
      <w:pPr>
        <w:rPr>
          <w:rFonts w:ascii="Calibri" w:hAnsi="Calibri" w:cs="Lucida Sans Unicode"/>
          <w:b/>
        </w:rPr>
      </w:pPr>
      <w:r w:rsidRPr="000447DF">
        <w:rPr>
          <w:rFonts w:ascii="Calibri" w:hAnsi="Calibri" w:cs="Lucida Sans Unicode"/>
          <w:b/>
        </w:rPr>
        <w:t>Furto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843"/>
        <w:gridCol w:w="3260"/>
      </w:tblGrid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Premio Netto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>Imposte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  <w:bCs/>
              </w:rPr>
            </w:pPr>
            <w:r w:rsidRPr="000447DF">
              <w:rPr>
                <w:rFonts w:ascii="Calibri" w:hAnsi="Calibri" w:cs="Lucida Sans Unicode"/>
                <w:bCs/>
              </w:rPr>
              <w:t xml:space="preserve">Lordo </w:t>
            </w:r>
            <w:r>
              <w:rPr>
                <w:rFonts w:ascii="Calibri" w:hAnsi="Calibri" w:cs="Lucida Sans Unicode"/>
                <w:bCs/>
              </w:rPr>
              <w:t xml:space="preserve">Annuo </w:t>
            </w:r>
            <w:r w:rsidRPr="000447DF">
              <w:rPr>
                <w:rFonts w:ascii="Calibri" w:hAnsi="Calibri" w:cs="Lucida Sans Unicode"/>
                <w:bCs/>
              </w:rPr>
              <w:t>€</w:t>
            </w:r>
          </w:p>
        </w:tc>
      </w:tr>
      <w:tr w:rsidR="00A43DA9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A9" w:rsidRPr="000447DF" w:rsidRDefault="00A43DA9" w:rsidP="00801EB9">
            <w:pPr>
              <w:jc w:val="center"/>
              <w:rPr>
                <w:rFonts w:ascii="Calibri" w:hAnsi="Calibri" w:cs="Lucida Sans Unicode"/>
              </w:rPr>
            </w:pPr>
          </w:p>
        </w:tc>
      </w:tr>
    </w:tbl>
    <w:p w:rsidR="008A60B9" w:rsidRPr="000447DF" w:rsidRDefault="008A60B9" w:rsidP="008A60B9">
      <w:pPr>
        <w:rPr>
          <w:rFonts w:ascii="Calibri" w:hAnsi="Calibri" w:cs="Lucida Sans Unicode"/>
          <w:b/>
        </w:rPr>
      </w:pPr>
    </w:p>
    <w:p w:rsidR="008A60B9" w:rsidRPr="000447DF" w:rsidRDefault="008A60B9" w:rsidP="008A60B9">
      <w:pPr>
        <w:rPr>
          <w:rFonts w:ascii="Calibri" w:hAnsi="Calibri" w:cs="Lucida Sans Unicode"/>
          <w:b/>
        </w:rPr>
      </w:pPr>
      <w:r w:rsidRPr="000447DF">
        <w:rPr>
          <w:rFonts w:ascii="Calibri" w:hAnsi="Calibri" w:cs="Lucida Sans Unicode"/>
          <w:b/>
        </w:rPr>
        <w:t>Scomposizione del premio complessivo: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843"/>
        <w:gridCol w:w="3260"/>
      </w:tblGrid>
      <w:tr w:rsidR="00F93F7A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 xml:space="preserve">Premio Netto </w:t>
            </w:r>
            <w:r>
              <w:rPr>
                <w:rFonts w:ascii="Calibri" w:hAnsi="Calibri" w:cs="Lucida Sans Unicode"/>
                <w:b/>
                <w:bCs/>
              </w:rPr>
              <w:t>Annuo</w:t>
            </w:r>
          </w:p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 xml:space="preserve">Imposte </w:t>
            </w:r>
          </w:p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>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 xml:space="preserve">Lordo </w:t>
            </w:r>
            <w:r>
              <w:rPr>
                <w:rFonts w:ascii="Calibri" w:hAnsi="Calibri" w:cs="Lucida Sans Unicode"/>
                <w:b/>
                <w:bCs/>
              </w:rPr>
              <w:t>Annuo</w:t>
            </w:r>
          </w:p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  <w:b/>
                <w:bCs/>
              </w:rPr>
            </w:pPr>
            <w:r w:rsidRPr="000447DF">
              <w:rPr>
                <w:rFonts w:ascii="Calibri" w:hAnsi="Calibri" w:cs="Lucida Sans Unicode"/>
                <w:b/>
                <w:bCs/>
              </w:rPr>
              <w:t>€</w:t>
            </w:r>
          </w:p>
        </w:tc>
      </w:tr>
      <w:tr w:rsidR="00F93F7A" w:rsidRPr="000447DF" w:rsidTr="00801E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</w:rPr>
            </w:pPr>
          </w:p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A" w:rsidRPr="000447DF" w:rsidRDefault="00F93F7A" w:rsidP="00801EB9">
            <w:pPr>
              <w:jc w:val="center"/>
              <w:rPr>
                <w:rFonts w:ascii="Calibri" w:hAnsi="Calibri" w:cs="Lucida Sans Unicode"/>
              </w:rPr>
            </w:pPr>
          </w:p>
        </w:tc>
      </w:tr>
    </w:tbl>
    <w:p w:rsidR="008A60B9" w:rsidRPr="007766C8" w:rsidRDefault="008A60B9" w:rsidP="001A1CFE">
      <w:pPr>
        <w:jc w:val="both"/>
        <w:rPr>
          <w:rFonts w:ascii="Calibri" w:hAnsi="Calibri" w:cs="Lucida Sans Unicode"/>
          <w:b/>
          <w:color w:val="000000"/>
          <w:sz w:val="22"/>
          <w:szCs w:val="22"/>
        </w:rPr>
      </w:pPr>
    </w:p>
    <w:p w:rsidR="001A1CFE" w:rsidRDefault="001A1CFE" w:rsidP="001A1CFE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4A2118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4A2118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52545A" w:rsidRPr="0052545A" w:rsidRDefault="0052545A" w:rsidP="0052545A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</w:t>
      </w:r>
    </w:p>
    <w:sectPr w:rsidR="0052545A" w:rsidRPr="0052545A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5B7F8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0ECD"/>
    <w:multiLevelType w:val="hybridMultilevel"/>
    <w:tmpl w:val="EBE66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F5"/>
    <w:rsid w:val="000B0D94"/>
    <w:rsid w:val="000D6CE6"/>
    <w:rsid w:val="0010454D"/>
    <w:rsid w:val="0011121D"/>
    <w:rsid w:val="00163366"/>
    <w:rsid w:val="00164A46"/>
    <w:rsid w:val="00187C20"/>
    <w:rsid w:val="001A1CFE"/>
    <w:rsid w:val="00226C3A"/>
    <w:rsid w:val="00233448"/>
    <w:rsid w:val="00275111"/>
    <w:rsid w:val="0030232B"/>
    <w:rsid w:val="003039B8"/>
    <w:rsid w:val="00310065"/>
    <w:rsid w:val="00327F42"/>
    <w:rsid w:val="003730C5"/>
    <w:rsid w:val="003B2FF4"/>
    <w:rsid w:val="003D3769"/>
    <w:rsid w:val="003D72BB"/>
    <w:rsid w:val="004044FE"/>
    <w:rsid w:val="0043538A"/>
    <w:rsid w:val="00443CAE"/>
    <w:rsid w:val="004749F6"/>
    <w:rsid w:val="00494C4B"/>
    <w:rsid w:val="004A2118"/>
    <w:rsid w:val="004F601F"/>
    <w:rsid w:val="00500BB9"/>
    <w:rsid w:val="0051120E"/>
    <w:rsid w:val="005147C8"/>
    <w:rsid w:val="0052545A"/>
    <w:rsid w:val="00526D02"/>
    <w:rsid w:val="005369BF"/>
    <w:rsid w:val="005560FD"/>
    <w:rsid w:val="00557092"/>
    <w:rsid w:val="0056190A"/>
    <w:rsid w:val="005917E4"/>
    <w:rsid w:val="00593557"/>
    <w:rsid w:val="005A786C"/>
    <w:rsid w:val="006132C7"/>
    <w:rsid w:val="006238CC"/>
    <w:rsid w:val="00642C95"/>
    <w:rsid w:val="00654122"/>
    <w:rsid w:val="006E5D73"/>
    <w:rsid w:val="006E6627"/>
    <w:rsid w:val="006F7298"/>
    <w:rsid w:val="007062D7"/>
    <w:rsid w:val="00730BC3"/>
    <w:rsid w:val="00735577"/>
    <w:rsid w:val="007904D3"/>
    <w:rsid w:val="00797DA7"/>
    <w:rsid w:val="007D0CC3"/>
    <w:rsid w:val="0084722D"/>
    <w:rsid w:val="00861B30"/>
    <w:rsid w:val="00876D5E"/>
    <w:rsid w:val="008843FA"/>
    <w:rsid w:val="00886DEE"/>
    <w:rsid w:val="008A60B9"/>
    <w:rsid w:val="008B1075"/>
    <w:rsid w:val="008B7E61"/>
    <w:rsid w:val="009077B0"/>
    <w:rsid w:val="00917190"/>
    <w:rsid w:val="009372A2"/>
    <w:rsid w:val="00944FD8"/>
    <w:rsid w:val="009979D1"/>
    <w:rsid w:val="009A76DA"/>
    <w:rsid w:val="009E33CB"/>
    <w:rsid w:val="00A40450"/>
    <w:rsid w:val="00A43DA9"/>
    <w:rsid w:val="00A67785"/>
    <w:rsid w:val="00AD428A"/>
    <w:rsid w:val="00B03256"/>
    <w:rsid w:val="00B60788"/>
    <w:rsid w:val="00BB70F6"/>
    <w:rsid w:val="00BC4624"/>
    <w:rsid w:val="00C13155"/>
    <w:rsid w:val="00C23CE1"/>
    <w:rsid w:val="00C44F08"/>
    <w:rsid w:val="00C70D27"/>
    <w:rsid w:val="00D27419"/>
    <w:rsid w:val="00D66A05"/>
    <w:rsid w:val="00D86799"/>
    <w:rsid w:val="00D9176A"/>
    <w:rsid w:val="00DE2C0A"/>
    <w:rsid w:val="00E25124"/>
    <w:rsid w:val="00E624D5"/>
    <w:rsid w:val="00E85AA4"/>
    <w:rsid w:val="00EF43ED"/>
    <w:rsid w:val="00F05090"/>
    <w:rsid w:val="00F90EC3"/>
    <w:rsid w:val="00F93F7A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Titolo2"/>
    <w:link w:val="Titolo1Carattere"/>
    <w:qFormat/>
    <w:rsid w:val="00327F42"/>
    <w:pPr>
      <w:keepNext/>
      <w:keepLines/>
      <w:spacing w:before="100" w:beforeAutospacing="1" w:after="100" w:afterAutospacing="1" w:line="276" w:lineRule="auto"/>
      <w:jc w:val="center"/>
      <w:outlineLvl w:val="0"/>
    </w:pPr>
    <w:rPr>
      <w:rFonts w:ascii="Garamond" w:eastAsia="Calibri" w:hAnsi="Garamond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27F42"/>
    <w:rPr>
      <w:rFonts w:ascii="Garamond" w:eastAsia="Calibri" w:hAnsi="Garamond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4CE5-9079-46AD-9145-A7303BBC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federico.corich</cp:lastModifiedBy>
  <cp:revision>8</cp:revision>
  <dcterms:created xsi:type="dcterms:W3CDTF">2018-07-31T10:36:00Z</dcterms:created>
  <dcterms:modified xsi:type="dcterms:W3CDTF">2018-09-06T07:07:00Z</dcterms:modified>
</cp:coreProperties>
</file>