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right"/>
        <w:tblLook w:val="04A0"/>
      </w:tblPr>
      <w:tblGrid>
        <w:gridCol w:w="2660"/>
      </w:tblGrid>
      <w:tr w:rsidR="009A76DA" w:rsidTr="009A76DA">
        <w:trPr>
          <w:jc w:val="right"/>
        </w:trPr>
        <w:tc>
          <w:tcPr>
            <w:tcW w:w="2660" w:type="dxa"/>
          </w:tcPr>
          <w:p w:rsidR="009A76DA" w:rsidRPr="009A76DA" w:rsidRDefault="009A76DA" w:rsidP="009A76DA">
            <w:pPr>
              <w:spacing w:before="360" w:after="360"/>
              <w:jc w:val="center"/>
              <w:rPr>
                <w:rFonts w:asciiTheme="minorHAnsi" w:hAnsiTheme="minorHAnsi" w:cs="Arial"/>
                <w:i/>
                <w:sz w:val="28"/>
                <w:szCs w:val="28"/>
              </w:rPr>
            </w:pPr>
            <w:r w:rsidRPr="009A76DA">
              <w:rPr>
                <w:rFonts w:asciiTheme="minorHAnsi" w:hAnsiTheme="minorHAnsi" w:cs="Arial"/>
                <w:i/>
                <w:sz w:val="28"/>
                <w:szCs w:val="28"/>
              </w:rPr>
              <w:t>Bollo euro 16,00</w:t>
            </w:r>
          </w:p>
        </w:tc>
      </w:tr>
    </w:tbl>
    <w:p w:rsidR="009A76DA" w:rsidRDefault="00557092" w:rsidP="009979D1">
      <w:pPr>
        <w:rPr>
          <w:rFonts w:asciiTheme="minorHAnsi" w:hAnsiTheme="minorHAnsi" w:cs="Arial"/>
          <w:b/>
          <w:sz w:val="28"/>
          <w:szCs w:val="28"/>
        </w:rPr>
      </w:pPr>
      <w:r>
        <w:rPr>
          <w:rFonts w:asciiTheme="minorHAnsi" w:hAnsiTheme="minorHAnsi" w:cs="Arial"/>
          <w:b/>
          <w:sz w:val="28"/>
          <w:szCs w:val="28"/>
        </w:rPr>
        <w:t>Allegato B</w:t>
      </w:r>
      <w:r w:rsidR="00433FE3">
        <w:rPr>
          <w:rFonts w:asciiTheme="minorHAnsi" w:hAnsiTheme="minorHAnsi" w:cs="Arial"/>
          <w:b/>
          <w:sz w:val="28"/>
          <w:szCs w:val="28"/>
        </w:rPr>
        <w:t>2</w:t>
      </w:r>
    </w:p>
    <w:p w:rsidR="0030232B" w:rsidRDefault="0030232B" w:rsidP="009979D1">
      <w:pPr>
        <w:rPr>
          <w:rFonts w:asciiTheme="minorHAnsi" w:hAnsiTheme="minorHAnsi" w:cs="Arial"/>
          <w:b/>
          <w:sz w:val="28"/>
          <w:szCs w:val="28"/>
        </w:rPr>
      </w:pPr>
    </w:p>
    <w:p w:rsidR="00AD428A" w:rsidRDefault="00AD428A" w:rsidP="00AD428A">
      <w:pPr>
        <w:widowControl w:val="0"/>
        <w:overflowPunct w:val="0"/>
        <w:autoSpaceDE w:val="0"/>
        <w:autoSpaceDN w:val="0"/>
        <w:adjustRightInd w:val="0"/>
        <w:spacing w:line="320" w:lineRule="exact"/>
        <w:ind w:right="360"/>
        <w:rPr>
          <w:b/>
          <w:bC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43"/>
        <w:gridCol w:w="7827"/>
      </w:tblGrid>
      <w:tr w:rsidR="007509FA" w:rsidRPr="007509FA" w:rsidTr="007509FA">
        <w:trPr>
          <w:trHeight w:val="1202"/>
        </w:trPr>
        <w:tc>
          <w:tcPr>
            <w:tcW w:w="1843" w:type="dxa"/>
            <w:shd w:val="clear" w:color="auto" w:fill="BFBFBF"/>
            <w:vAlign w:val="center"/>
          </w:tcPr>
          <w:p w:rsidR="007509FA" w:rsidRPr="007509FA" w:rsidRDefault="007509FA" w:rsidP="007509FA">
            <w:pPr>
              <w:jc w:val="center"/>
              <w:rPr>
                <w:rFonts w:asciiTheme="minorHAnsi" w:hAnsiTheme="minorHAnsi"/>
                <w:b/>
                <w:bCs/>
                <w:sz w:val="28"/>
                <w:szCs w:val="28"/>
              </w:rPr>
            </w:pPr>
            <w:r w:rsidRPr="007509FA">
              <w:rPr>
                <w:rFonts w:asciiTheme="minorHAnsi" w:hAnsiTheme="minorHAnsi"/>
                <w:b/>
                <w:bCs/>
                <w:sz w:val="28"/>
                <w:szCs w:val="28"/>
              </w:rPr>
              <w:t>GARA A PROCEDURA APERTA</w:t>
            </w:r>
          </w:p>
        </w:tc>
        <w:tc>
          <w:tcPr>
            <w:tcW w:w="7827" w:type="dxa"/>
            <w:vAlign w:val="center"/>
          </w:tcPr>
          <w:p w:rsidR="007509FA" w:rsidRPr="007509FA" w:rsidRDefault="007509FA" w:rsidP="007509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sz w:val="28"/>
                <w:szCs w:val="28"/>
              </w:rPr>
            </w:pPr>
            <w:r w:rsidRPr="007509FA">
              <w:rPr>
                <w:rFonts w:asciiTheme="minorHAnsi" w:hAnsiTheme="minorHAnsi"/>
                <w:b/>
                <w:color w:val="232020"/>
                <w:sz w:val="28"/>
                <w:szCs w:val="28"/>
              </w:rPr>
              <w:t xml:space="preserve">SUA VE PER CONTO DEL COMUNE </w:t>
            </w:r>
            <w:proofErr w:type="spellStart"/>
            <w:r w:rsidRPr="007509FA">
              <w:rPr>
                <w:rFonts w:asciiTheme="minorHAnsi" w:hAnsiTheme="minorHAnsi"/>
                <w:b/>
                <w:color w:val="232020"/>
                <w:sz w:val="28"/>
                <w:szCs w:val="28"/>
              </w:rPr>
              <w:t>DI</w:t>
            </w:r>
            <w:proofErr w:type="spellEnd"/>
            <w:r w:rsidRPr="007509FA">
              <w:rPr>
                <w:rFonts w:asciiTheme="minorHAnsi" w:hAnsiTheme="minorHAnsi"/>
                <w:b/>
                <w:color w:val="232020"/>
                <w:sz w:val="28"/>
                <w:szCs w:val="28"/>
              </w:rPr>
              <w:t xml:space="preserve"> DOLO. </w:t>
            </w:r>
            <w:r w:rsidRPr="007509FA">
              <w:rPr>
                <w:rFonts w:asciiTheme="minorHAnsi" w:hAnsiTheme="minorHAnsi" w:cs="Calibri"/>
                <w:b/>
                <w:sz w:val="28"/>
                <w:szCs w:val="28"/>
              </w:rPr>
              <w:t xml:space="preserve">GARA EUROPEA A PROCEDURA APERTA PER L’APPALTO DEI SERVIZI ASSICURATIVI DEL COMUNE </w:t>
            </w:r>
            <w:proofErr w:type="spellStart"/>
            <w:r w:rsidRPr="007509FA">
              <w:rPr>
                <w:rFonts w:asciiTheme="minorHAnsi" w:hAnsiTheme="minorHAnsi" w:cs="Calibri"/>
                <w:b/>
                <w:sz w:val="28"/>
                <w:szCs w:val="28"/>
              </w:rPr>
              <w:t>DI</w:t>
            </w:r>
            <w:proofErr w:type="spellEnd"/>
            <w:r w:rsidRPr="007509FA">
              <w:rPr>
                <w:rFonts w:asciiTheme="minorHAnsi" w:hAnsiTheme="minorHAnsi" w:cs="Calibri"/>
                <w:b/>
                <w:sz w:val="28"/>
                <w:szCs w:val="28"/>
              </w:rPr>
              <w:t xml:space="preserve"> DOLO VE, PERIODO 30/04/2019 - 30/04/2022.</w:t>
            </w:r>
          </w:p>
        </w:tc>
      </w:tr>
    </w:tbl>
    <w:p w:rsidR="00AD428A" w:rsidRDefault="00AD428A" w:rsidP="00AD428A">
      <w:pPr>
        <w:widowControl w:val="0"/>
        <w:overflowPunct w:val="0"/>
        <w:autoSpaceDE w:val="0"/>
        <w:autoSpaceDN w:val="0"/>
        <w:adjustRightInd w:val="0"/>
        <w:spacing w:line="320" w:lineRule="exact"/>
        <w:ind w:right="360"/>
        <w:rPr>
          <w:rFonts w:ascii="Calibri" w:hAnsi="Calibri"/>
          <w:b/>
          <w:bCs/>
          <w:lang w:eastAsia="en-US"/>
        </w:rPr>
      </w:pPr>
    </w:p>
    <w:p w:rsidR="009979D1" w:rsidRDefault="009979D1" w:rsidP="00164A46">
      <w:pPr>
        <w:spacing w:line="320" w:lineRule="exact"/>
        <w:jc w:val="both"/>
        <w:rPr>
          <w:rFonts w:asciiTheme="minorHAnsi" w:hAnsiTheme="minorHAnsi"/>
          <w:b/>
          <w:bCs/>
          <w:color w:val="000000"/>
          <w:sz w:val="22"/>
          <w:szCs w:val="22"/>
        </w:rPr>
      </w:pPr>
    </w:p>
    <w:p w:rsidR="00BB70F6" w:rsidRPr="009979D1" w:rsidRDefault="00BB70F6" w:rsidP="009979D1">
      <w:pPr>
        <w:tabs>
          <w:tab w:val="left" w:pos="1418"/>
        </w:tabs>
        <w:ind w:left="1418" w:hanging="1418"/>
        <w:jc w:val="both"/>
        <w:rPr>
          <w:rFonts w:asciiTheme="minorHAnsi" w:hAnsiTheme="minorHAnsi"/>
          <w:b/>
          <w:bCs/>
          <w:color w:val="000000"/>
          <w:sz w:val="22"/>
          <w:szCs w:val="22"/>
        </w:rPr>
      </w:pPr>
    </w:p>
    <w:p w:rsidR="009979D1" w:rsidRPr="00164A46" w:rsidRDefault="0030232B" w:rsidP="00164A46">
      <w:pPr>
        <w:ind w:firstLine="1"/>
        <w:jc w:val="center"/>
        <w:rPr>
          <w:rFonts w:asciiTheme="minorHAnsi" w:hAnsiTheme="minorHAnsi"/>
          <w:b/>
          <w:sz w:val="28"/>
          <w:szCs w:val="28"/>
        </w:rPr>
      </w:pPr>
      <w:r w:rsidRPr="00164A46">
        <w:rPr>
          <w:rFonts w:ascii="Calibri" w:hAnsi="Calibri"/>
          <w:b/>
          <w:sz w:val="28"/>
          <w:szCs w:val="28"/>
        </w:rPr>
        <w:t xml:space="preserve">SCHEDA </w:t>
      </w:r>
      <w:r w:rsidR="004F601F">
        <w:rPr>
          <w:rFonts w:ascii="Calibri" w:hAnsi="Calibri"/>
          <w:b/>
          <w:sz w:val="28"/>
          <w:szCs w:val="28"/>
        </w:rPr>
        <w:t xml:space="preserve">OFFERTA </w:t>
      </w:r>
      <w:r w:rsidR="009979D1" w:rsidRPr="00164A46">
        <w:rPr>
          <w:rFonts w:asciiTheme="minorHAnsi" w:hAnsiTheme="minorHAnsi"/>
          <w:b/>
          <w:sz w:val="28"/>
          <w:szCs w:val="28"/>
        </w:rPr>
        <w:t xml:space="preserve">LOTTO </w:t>
      </w:r>
      <w:r w:rsidR="00433FE3">
        <w:rPr>
          <w:rFonts w:asciiTheme="minorHAnsi" w:hAnsiTheme="minorHAnsi"/>
          <w:b/>
          <w:sz w:val="28"/>
          <w:szCs w:val="28"/>
        </w:rPr>
        <w:t>2</w:t>
      </w:r>
      <w:r w:rsidR="009979D1" w:rsidRPr="00164A46">
        <w:rPr>
          <w:rFonts w:asciiTheme="minorHAnsi" w:hAnsiTheme="minorHAnsi"/>
          <w:b/>
          <w:sz w:val="28"/>
          <w:szCs w:val="28"/>
        </w:rPr>
        <w:t xml:space="preserve"> – </w:t>
      </w:r>
      <w:r w:rsidR="00433FE3">
        <w:rPr>
          <w:rFonts w:asciiTheme="minorHAnsi" w:hAnsiTheme="minorHAnsi"/>
          <w:b/>
          <w:sz w:val="28"/>
          <w:szCs w:val="28"/>
        </w:rPr>
        <w:t>ALL RISKS</w:t>
      </w:r>
    </w:p>
    <w:p w:rsidR="009979D1" w:rsidRPr="009979D1" w:rsidRDefault="009979D1" w:rsidP="009979D1">
      <w:pPr>
        <w:rPr>
          <w:rFonts w:asciiTheme="minorHAnsi" w:hAnsiTheme="minorHAnsi" w:cs="Lucida Sans Unicode"/>
          <w:sz w:val="22"/>
          <w:szCs w:val="22"/>
        </w:rPr>
      </w:pPr>
    </w:p>
    <w:p w:rsidR="009979D1" w:rsidRPr="009979D1" w:rsidRDefault="009979D1" w:rsidP="009979D1">
      <w:pPr>
        <w:rPr>
          <w:rFonts w:asciiTheme="minorHAnsi" w:hAnsiTheme="minorHAnsi" w:cs="Lucida Sans Unicode"/>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Il sottoscritto/a</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nato/a</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il</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residente a</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in via</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in qualità di</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della Società assicuratrice</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con sede in</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via</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telefono n.</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telefax n.</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 xml:space="preserve">Codice Fiscale </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r w:rsidR="009979D1" w:rsidRPr="009979D1" w:rsidTr="007509FA">
        <w:tc>
          <w:tcPr>
            <w:tcW w:w="3085" w:type="dxa"/>
            <w:shd w:val="clear" w:color="auto" w:fill="auto"/>
            <w:vAlign w:val="center"/>
          </w:tcPr>
          <w:p w:rsidR="009979D1" w:rsidRPr="009979D1" w:rsidRDefault="009979D1" w:rsidP="007509FA">
            <w:pPr>
              <w:spacing w:after="120"/>
              <w:rPr>
                <w:rFonts w:asciiTheme="minorHAnsi" w:hAnsiTheme="minorHAnsi"/>
                <w:sz w:val="22"/>
                <w:szCs w:val="22"/>
              </w:rPr>
            </w:pPr>
            <w:r w:rsidRPr="009979D1">
              <w:rPr>
                <w:rFonts w:asciiTheme="minorHAnsi" w:hAnsiTheme="minorHAnsi"/>
                <w:sz w:val="22"/>
                <w:szCs w:val="22"/>
              </w:rPr>
              <w:t>Partita IVA</w:t>
            </w:r>
          </w:p>
        </w:tc>
        <w:tc>
          <w:tcPr>
            <w:tcW w:w="6521" w:type="dxa"/>
            <w:shd w:val="clear" w:color="auto" w:fill="auto"/>
            <w:vAlign w:val="center"/>
          </w:tcPr>
          <w:p w:rsidR="009979D1" w:rsidRPr="009979D1" w:rsidRDefault="009979D1" w:rsidP="007509FA">
            <w:pPr>
              <w:spacing w:after="120"/>
              <w:rPr>
                <w:rFonts w:asciiTheme="minorHAnsi" w:hAnsiTheme="minorHAnsi"/>
                <w:sz w:val="22"/>
                <w:szCs w:val="22"/>
              </w:rPr>
            </w:pPr>
          </w:p>
        </w:tc>
      </w:tr>
    </w:tbl>
    <w:p w:rsidR="009A76DA" w:rsidRDefault="009A76DA" w:rsidP="009A76DA">
      <w:pPr>
        <w:jc w:val="both"/>
        <w:rPr>
          <w:rFonts w:asciiTheme="minorHAnsi" w:hAnsiTheme="minorHAnsi" w:cs="Arial"/>
          <w:sz w:val="22"/>
          <w:szCs w:val="22"/>
        </w:rPr>
      </w:pPr>
    </w:p>
    <w:p w:rsidR="009A76DA" w:rsidRDefault="009A76DA" w:rsidP="009A76DA">
      <w:pPr>
        <w:jc w:val="center"/>
        <w:rPr>
          <w:rFonts w:asciiTheme="minorHAnsi" w:hAnsiTheme="minorHAnsi" w:cs="Arial"/>
          <w:sz w:val="22"/>
          <w:szCs w:val="22"/>
        </w:rPr>
      </w:pPr>
      <w:r w:rsidRPr="00654122">
        <w:rPr>
          <w:rFonts w:asciiTheme="minorHAnsi" w:hAnsiTheme="minorHAnsi" w:cs="Arial"/>
          <w:b/>
          <w:sz w:val="28"/>
          <w:szCs w:val="28"/>
        </w:rPr>
        <w:t xml:space="preserve">DICHIARA DI PRESENTARE </w:t>
      </w:r>
      <w:r w:rsidR="007D0CC3">
        <w:rPr>
          <w:rFonts w:asciiTheme="minorHAnsi" w:hAnsiTheme="minorHAnsi" w:cs="Arial"/>
          <w:b/>
          <w:sz w:val="28"/>
          <w:szCs w:val="28"/>
        </w:rPr>
        <w:t xml:space="preserve">LA SEGUENTE </w:t>
      </w:r>
      <w:r w:rsidRPr="00654122">
        <w:rPr>
          <w:rFonts w:asciiTheme="minorHAnsi" w:hAnsiTheme="minorHAnsi" w:cs="Arial"/>
          <w:b/>
          <w:sz w:val="28"/>
          <w:szCs w:val="28"/>
        </w:rPr>
        <w:t>OFFERTA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Default="009A76DA" w:rsidP="00654122">
      <w:pPr>
        <w:jc w:val="center"/>
        <w:rPr>
          <w:rFonts w:asciiTheme="minorHAnsi" w:hAnsiTheme="minorHAnsi" w:cs="Arial"/>
          <w:sz w:val="22"/>
          <w:szCs w:val="22"/>
        </w:rPr>
      </w:pPr>
      <w:r w:rsidRPr="009A76DA">
        <w:rPr>
          <w:rFonts w:asciiTheme="minorHAnsi" w:hAnsiTheme="minorHAnsi" w:cs="Arial"/>
          <w:i/>
          <w:sz w:val="22"/>
          <w:szCs w:val="22"/>
          <w:bdr w:val="single" w:sz="4" w:space="0" w:color="auto"/>
          <w:shd w:val="clear" w:color="auto" w:fill="D9D9D9" w:themeFill="background1" w:themeFillShade="D9"/>
        </w:rPr>
        <w:t>(selezionare l’opzione scelta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SINGOLARMENTE</w:t>
      </w:r>
      <w:r w:rsidR="00593557">
        <w:rPr>
          <w:rFonts w:asciiTheme="minorHAnsi" w:hAnsiTheme="minorHAnsi" w:cs="Arial"/>
          <w:b/>
          <w:sz w:val="24"/>
          <w:szCs w:val="24"/>
        </w:rPr>
        <w:t xml:space="preserve"> per una quota di ritenzione del rischi pari al 100%</w:t>
      </w:r>
      <w:r w:rsidRPr="00654122">
        <w:rPr>
          <w:rFonts w:asciiTheme="minorHAnsi" w:hAnsiTheme="minorHAnsi" w:cs="Arial"/>
          <w:b/>
          <w:sz w:val="24"/>
          <w:szCs w:val="24"/>
        </w:rPr>
        <w:t>;</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RAGGRUPPAMENTO TEMPORANEO DI IMPRESE</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COASSICURAZIONE</w:t>
      </w:r>
    </w:p>
    <w:p w:rsidR="009A76DA" w:rsidRDefault="009A76DA" w:rsidP="009A76DA">
      <w:pPr>
        <w:pStyle w:val="Paragrafoelenco"/>
        <w:numPr>
          <w:ilvl w:val="0"/>
          <w:numId w:val="5"/>
        </w:numPr>
        <w:spacing w:line="480" w:lineRule="auto"/>
        <w:ind w:left="357" w:hanging="357"/>
        <w:jc w:val="both"/>
        <w:rPr>
          <w:rFonts w:asciiTheme="minorHAnsi" w:hAnsiTheme="minorHAnsi" w:cs="Arial"/>
          <w:sz w:val="22"/>
          <w:szCs w:val="22"/>
        </w:rPr>
      </w:pPr>
      <w:r w:rsidRPr="00654122">
        <w:rPr>
          <w:rFonts w:asciiTheme="minorHAnsi" w:hAnsiTheme="minorHAnsi" w:cs="Arial"/>
          <w:b/>
          <w:sz w:val="24"/>
          <w:szCs w:val="24"/>
        </w:rPr>
        <w:t>ALTRO…………………………………………….</w:t>
      </w:r>
    </w:p>
    <w:p w:rsidR="001A1CFE" w:rsidRPr="005A786C" w:rsidRDefault="001A1CFE" w:rsidP="001A1CFE">
      <w:pPr>
        <w:pStyle w:val="Paragrafoelenco"/>
        <w:ind w:left="360"/>
        <w:rPr>
          <w:sz w:val="24"/>
          <w:szCs w:val="24"/>
        </w:rPr>
      </w:pPr>
      <w:r w:rsidRPr="005A786C">
        <w:rPr>
          <w:rFonts w:ascii="Calibri" w:hAnsi="Calibri"/>
          <w:b/>
          <w:sz w:val="24"/>
          <w:szCs w:val="24"/>
        </w:rPr>
        <w:t>Con le seguenti Società Assicuratrici e con le quote % rispettivamente indicate:</w:t>
      </w:r>
      <w:r w:rsidRPr="005A786C">
        <w:rPr>
          <w:sz w:val="24"/>
          <w:szCs w:val="24"/>
        </w:rPr>
        <w:t xml:space="preserve"> </w:t>
      </w:r>
    </w:p>
    <w:p w:rsidR="001A1CFE" w:rsidRPr="005A786C" w:rsidRDefault="001A1CFE" w:rsidP="001A1CFE">
      <w:pPr>
        <w:pStyle w:val="Paragrafoelenco"/>
        <w:ind w:left="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577"/>
        <w:gridCol w:w="2656"/>
      </w:tblGrid>
      <w:tr w:rsidR="008B7E61" w:rsidRPr="004A2118" w:rsidTr="008B7E61">
        <w:tc>
          <w:tcPr>
            <w:tcW w:w="3117" w:type="dxa"/>
          </w:tcPr>
          <w:p w:rsidR="008B7E61" w:rsidRPr="004A2118" w:rsidRDefault="008B7E61" w:rsidP="00692C62">
            <w:pPr>
              <w:rPr>
                <w:rFonts w:asciiTheme="minorHAnsi" w:eastAsia="Arial Unicode MS" w:hAnsiTheme="minorHAnsi"/>
                <w:sz w:val="22"/>
                <w:szCs w:val="22"/>
              </w:rPr>
            </w:pPr>
          </w:p>
        </w:tc>
        <w:tc>
          <w:tcPr>
            <w:tcW w:w="2577" w:type="dxa"/>
          </w:tcPr>
          <w:p w:rsidR="008B7E61" w:rsidRPr="004A2118" w:rsidRDefault="008B7E61" w:rsidP="00692C62">
            <w:pPr>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Denominazione Società</w:t>
            </w:r>
          </w:p>
        </w:tc>
        <w:tc>
          <w:tcPr>
            <w:tcW w:w="2656" w:type="dxa"/>
          </w:tcPr>
          <w:p w:rsidR="008B7E61" w:rsidRPr="004A2118" w:rsidRDefault="008B7E61" w:rsidP="00692C62">
            <w:pPr>
              <w:autoSpaceDE w:val="0"/>
              <w:autoSpaceDN w:val="0"/>
              <w:adjustRightInd w:val="0"/>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 xml:space="preserve"> Percentuale di ritenzione (%)</w:t>
            </w: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Mandataria/Delegataria</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bl>
    <w:p w:rsidR="001A1CFE" w:rsidRDefault="001A1CFE" w:rsidP="001A1CFE">
      <w:pPr>
        <w:pStyle w:val="Corpodeltesto"/>
        <w:jc w:val="center"/>
        <w:rPr>
          <w:rFonts w:asciiTheme="minorHAnsi" w:hAnsiTheme="minorHAnsi"/>
          <w:b/>
          <w:sz w:val="22"/>
          <w:szCs w:val="22"/>
        </w:rPr>
      </w:pPr>
    </w:p>
    <w:p w:rsidR="001A1CFE" w:rsidRDefault="001A1CFE" w:rsidP="001A1CFE">
      <w:pPr>
        <w:pStyle w:val="Corpodeltesto"/>
        <w:jc w:val="center"/>
        <w:rPr>
          <w:rFonts w:asciiTheme="minorHAnsi" w:hAnsiTheme="minorHAnsi"/>
          <w:b/>
          <w:sz w:val="22"/>
          <w:szCs w:val="22"/>
        </w:rPr>
      </w:pPr>
      <w:r>
        <w:rPr>
          <w:rFonts w:asciiTheme="minorHAnsi" w:hAnsiTheme="minorHAnsi"/>
          <w:b/>
          <w:sz w:val="22"/>
          <w:szCs w:val="22"/>
        </w:rPr>
        <w:t>OFFE</w:t>
      </w:r>
      <w:r w:rsidR="005C6A42">
        <w:rPr>
          <w:rFonts w:asciiTheme="minorHAnsi" w:hAnsiTheme="minorHAnsi"/>
          <w:b/>
          <w:sz w:val="22"/>
          <w:szCs w:val="22"/>
        </w:rPr>
        <w:t>RTA ELEMENTI QUANTITATIVI (MAX 8</w:t>
      </w:r>
      <w:r>
        <w:rPr>
          <w:rFonts w:asciiTheme="minorHAnsi" w:hAnsiTheme="minorHAnsi"/>
          <w:b/>
          <w:sz w:val="22"/>
          <w:szCs w:val="22"/>
        </w:rPr>
        <w:t>0 PUNTI)</w:t>
      </w:r>
    </w:p>
    <w:p w:rsidR="005C6A42" w:rsidRPr="004A2118" w:rsidRDefault="005C6A42" w:rsidP="001A1CFE">
      <w:pPr>
        <w:pStyle w:val="Corpodeltesto"/>
        <w:jc w:val="center"/>
        <w:rPr>
          <w:rFonts w:asciiTheme="minorHAnsi" w:hAnsiTheme="minorHAnsi"/>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6"/>
        <w:gridCol w:w="3792"/>
        <w:gridCol w:w="1134"/>
        <w:gridCol w:w="2268"/>
      </w:tblGrid>
      <w:tr w:rsidR="009B649C" w:rsidTr="007B6EF9">
        <w:trPr>
          <w:trHeight w:val="902"/>
        </w:trPr>
        <w:tc>
          <w:tcPr>
            <w:tcW w:w="2553"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9B649C" w:rsidRDefault="009B649C" w:rsidP="007509FA">
            <w:pPr>
              <w:pStyle w:val="Standard"/>
              <w:spacing w:after="0" w:line="320" w:lineRule="exact"/>
              <w:ind w:left="35" w:right="217"/>
              <w:jc w:val="center"/>
              <w:rPr>
                <w:rFonts w:ascii="Garamond" w:hAnsi="Garamond"/>
                <w:sz w:val="16"/>
                <w:szCs w:val="16"/>
                <w:lang w:val="it-IT"/>
              </w:rPr>
            </w:pPr>
            <w:r>
              <w:rPr>
                <w:rFonts w:ascii="Garamond" w:hAnsi="Garamond"/>
                <w:b/>
                <w:sz w:val="16"/>
                <w:szCs w:val="16"/>
                <w:lang w:val="it-IT"/>
              </w:rPr>
              <w:t xml:space="preserve">CRITERI </w:t>
            </w:r>
            <w:proofErr w:type="spellStart"/>
            <w:r>
              <w:rPr>
                <w:rFonts w:ascii="Garamond" w:hAnsi="Garamond"/>
                <w:b/>
                <w:sz w:val="16"/>
                <w:szCs w:val="16"/>
                <w:lang w:val="it-IT"/>
              </w:rPr>
              <w:t>DI</w:t>
            </w:r>
            <w:proofErr w:type="spellEnd"/>
            <w:r>
              <w:rPr>
                <w:rFonts w:ascii="Garamond" w:hAnsi="Garamond"/>
                <w:b/>
                <w:sz w:val="16"/>
                <w:szCs w:val="16"/>
                <w:lang w:val="it-IT"/>
              </w:rPr>
              <w:t xml:space="preserve"> VALUTAZIONE</w:t>
            </w:r>
          </w:p>
        </w:tc>
        <w:tc>
          <w:tcPr>
            <w:tcW w:w="379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9B649C" w:rsidRDefault="009B649C" w:rsidP="007509FA">
            <w:pPr>
              <w:pStyle w:val="Standard"/>
              <w:spacing w:after="0" w:line="320" w:lineRule="exact"/>
              <w:ind w:left="35" w:right="217"/>
              <w:jc w:val="center"/>
              <w:rPr>
                <w:rFonts w:ascii="Garamond" w:hAnsi="Garamond"/>
                <w:b/>
                <w:sz w:val="16"/>
                <w:szCs w:val="16"/>
                <w:lang w:val="it-IT"/>
              </w:rPr>
            </w:pPr>
            <w:r>
              <w:rPr>
                <w:rFonts w:ascii="Garamond" w:hAnsi="Garamond"/>
                <w:b/>
                <w:sz w:val="16"/>
                <w:szCs w:val="16"/>
                <w:lang w:val="it-IT"/>
              </w:rPr>
              <w:t xml:space="preserve">SUB-CRITERI </w:t>
            </w:r>
            <w:proofErr w:type="spellStart"/>
            <w:r>
              <w:rPr>
                <w:rFonts w:ascii="Garamond" w:hAnsi="Garamond"/>
                <w:b/>
                <w:sz w:val="16"/>
                <w:szCs w:val="16"/>
                <w:lang w:val="it-IT"/>
              </w:rPr>
              <w:t>DI</w:t>
            </w:r>
            <w:proofErr w:type="spellEnd"/>
            <w:r>
              <w:rPr>
                <w:rFonts w:ascii="Garamond" w:hAnsi="Garamond"/>
                <w:b/>
                <w:sz w:val="16"/>
                <w:szCs w:val="16"/>
                <w:lang w:val="it-IT"/>
              </w:rPr>
              <w:t xml:space="preserve"> VALUTAZIONE</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9B649C" w:rsidRDefault="009B649C" w:rsidP="007509FA">
            <w:pPr>
              <w:pStyle w:val="Standard"/>
              <w:spacing w:after="0" w:line="320" w:lineRule="exact"/>
              <w:ind w:left="35" w:right="217"/>
              <w:jc w:val="center"/>
              <w:rPr>
                <w:rFonts w:ascii="Garamond" w:hAnsi="Garamond"/>
                <w:b/>
                <w:sz w:val="16"/>
                <w:szCs w:val="16"/>
                <w:lang w:val="it-IT"/>
              </w:rPr>
            </w:pPr>
            <w:r>
              <w:rPr>
                <w:rFonts w:ascii="Garamond" w:hAnsi="Garamond"/>
                <w:b/>
                <w:sz w:val="16"/>
                <w:szCs w:val="16"/>
                <w:lang w:val="it-IT"/>
              </w:rPr>
              <w:t>PUNTI</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B649C" w:rsidRDefault="009B649C" w:rsidP="007509FA">
            <w:pPr>
              <w:pStyle w:val="Standard"/>
              <w:spacing w:after="0" w:line="320" w:lineRule="exact"/>
              <w:ind w:left="35" w:right="217"/>
              <w:jc w:val="center"/>
              <w:rPr>
                <w:rFonts w:ascii="Garamond" w:hAnsi="Garamond"/>
                <w:b/>
                <w:sz w:val="16"/>
                <w:szCs w:val="16"/>
                <w:lang w:val="it-IT"/>
              </w:rPr>
            </w:pPr>
            <w:r w:rsidRPr="00327F42">
              <w:rPr>
                <w:rFonts w:ascii="Garamond" w:hAnsi="Garamond"/>
                <w:b/>
                <w:sz w:val="16"/>
                <w:szCs w:val="16"/>
                <w:lang w:val="it-IT"/>
              </w:rPr>
              <w:t>OFFERTA DEL CONCORRENTE –</w:t>
            </w:r>
            <w:r>
              <w:rPr>
                <w:rFonts w:ascii="Garamond" w:hAnsi="Garamond"/>
                <w:b/>
                <w:sz w:val="16"/>
                <w:szCs w:val="16"/>
                <w:lang w:val="it-IT"/>
              </w:rPr>
              <w:t xml:space="preserve"> </w:t>
            </w:r>
            <w:r w:rsidRPr="00327F42">
              <w:rPr>
                <w:rFonts w:ascii="Garamond" w:hAnsi="Garamond"/>
                <w:b/>
                <w:sz w:val="16"/>
                <w:szCs w:val="16"/>
                <w:lang w:val="it-IT"/>
              </w:rPr>
              <w:t xml:space="preserve"> BARRARE SOLO L’OPZIONE OFFERTA</w:t>
            </w:r>
          </w:p>
        </w:tc>
      </w:tr>
      <w:tr w:rsidR="009B649C" w:rsidRPr="00A221D9" w:rsidTr="009B649C">
        <w:trPr>
          <w:trHeight w:val="11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jc w:val="center"/>
              <w:rPr>
                <w:rFonts w:ascii="Garamond" w:hAnsi="Garamond" w:cs="Calibri"/>
                <w:sz w:val="20"/>
                <w:szCs w:val="20"/>
                <w:lang w:val="it-IT"/>
              </w:rPr>
            </w:pPr>
            <w:r w:rsidRPr="009B649C">
              <w:rPr>
                <w:rFonts w:ascii="Garamond" w:hAnsi="Garamond" w:cs="Calibri"/>
                <w:sz w:val="20"/>
                <w:szCs w:val="20"/>
                <w:lang w:val="it-IT"/>
              </w:rPr>
              <w:t>1</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Limiti di indennizzo, franchigie e scoperti - Franchigia frontale per ogni e qualsiasi sinistro salvo quanto diversamente regolamentato:</w:t>
            </w: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nessuna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9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€ 1.000,00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505"/>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€ 2.000,00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jc w:val="center"/>
              <w:rPr>
                <w:rFonts w:ascii="Garamond" w:hAnsi="Garamond" w:cs="Calibri"/>
                <w:sz w:val="20"/>
                <w:szCs w:val="20"/>
                <w:lang w:val="it-IT"/>
              </w:rPr>
            </w:pPr>
            <w:r w:rsidRPr="009B649C">
              <w:rPr>
                <w:rFonts w:ascii="Garamond" w:hAnsi="Garamond" w:cs="Calibri"/>
                <w:sz w:val="20"/>
                <w:szCs w:val="20"/>
                <w:lang w:val="it-IT"/>
              </w:rPr>
              <w:t>2</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Limiti di indennizzo, franchigie e scoperti – Scoperto Terremoto</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Scoperto 10% con il minimo di € 20.000,00 per sinistro e per singola ubicazione</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Scoperto 10% con il minimo di € 25.000,00 per sinistro e per singola ubicazione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Scoperto 10% con il minimo di € 30.000,00 per sinistro e per singola ubicazione</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Limiti di indennizzo, franchigie e scoperti – Scoperto Inondazioni, alluvioni, allagamenti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Scoperto 10% con il minimo di € 5.000,00 per sinistro e per singola ubicazione</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8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Scoperto 10% con il minimo di € 7.500,00 per sinistro e per singola ubicazione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Scoperto 10% con il minimo di € 10.000,00 per sinistro e per singola ubicazione</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jc w:val="center"/>
              <w:rPr>
                <w:rFonts w:ascii="Garamond" w:hAnsi="Garamond" w:cs="Calibri"/>
                <w:sz w:val="20"/>
                <w:szCs w:val="20"/>
                <w:lang w:val="it-IT"/>
              </w:rPr>
            </w:pPr>
            <w:r w:rsidRPr="009B649C">
              <w:rPr>
                <w:rFonts w:ascii="Garamond" w:hAnsi="Garamond" w:cs="Calibri"/>
                <w:sz w:val="20"/>
                <w:szCs w:val="20"/>
                <w:lang w:val="it-IT"/>
              </w:rPr>
              <w:t>4</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 xml:space="preserve">Limiti di indennizzo, franchigie e scoperti – Scoperto </w:t>
            </w:r>
            <w:r w:rsidRPr="009B649C">
              <w:rPr>
                <w:rFonts w:ascii="Garamond" w:hAnsi="Garamond" w:cs="Calibri"/>
                <w:sz w:val="20"/>
                <w:szCs w:val="20"/>
                <w:lang w:val="it-IT"/>
              </w:rPr>
              <w:lastRenderedPageBreak/>
              <w:t>Eventi atmosferici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lastRenderedPageBreak/>
              <w:t>Opzione base: Scoperto 10% con il minimo di € 2.500,00 per sinistro e per singola ubicazione</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 xml:space="preserve">Variante 1): Scoperto 10% con il minimo </w:t>
            </w:r>
            <w:r w:rsidRPr="009B649C">
              <w:rPr>
                <w:rFonts w:ascii="Garamond" w:hAnsi="Garamond" w:cs="Calibri"/>
                <w:sz w:val="20"/>
                <w:szCs w:val="20"/>
                <w:lang w:val="it-IT"/>
              </w:rPr>
              <w:lastRenderedPageBreak/>
              <w:t>di € 3.500,00 per sinistro e per singola ubicazione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Scoperto 10% con il minimo di € 5.000,00 per sinistro e per singola ubicazione</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Limiti di indennizzo, franchigie e scoperti – Scoperto Eventi sociopolitici e atti vandalici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Scoperto 10% con il minimo di € 500,00 per sinistro e per singola ubicazione</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Scoperto 10% con il minimo di € 1.000,00 per sinistro e per singola ubicazione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9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Scoperto 10% con il minimo di € 1.500,00 per sinistro e per singola ubicazione</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404"/>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r w:rsidRPr="009B649C">
              <w:rPr>
                <w:rFonts w:ascii="Garamond" w:hAnsi="Garamond" w:cs="Calibri"/>
                <w:kern w:val="2"/>
                <w:lang w:eastAsia="zh-CN"/>
              </w:rPr>
              <w:t>6</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r w:rsidRPr="009B649C">
              <w:rPr>
                <w:rFonts w:ascii="Garamond" w:hAnsi="Garamond" w:cs="Calibri"/>
              </w:rPr>
              <w:t>Limiti di indennizzo, franchigie e scoperti – Franchigia Fenomeno elettrico ed elettronico</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€ 750,00</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4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€ 1.000,00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70"/>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€ 1.500,00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470"/>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r w:rsidRPr="009B649C">
              <w:rPr>
                <w:rFonts w:ascii="Garamond" w:hAnsi="Garamond" w:cs="Calibri"/>
                <w:kern w:val="2"/>
                <w:lang w:eastAsia="zh-CN"/>
              </w:rPr>
              <w:t>7</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r w:rsidRPr="009B649C">
              <w:rPr>
                <w:rFonts w:ascii="Garamond" w:hAnsi="Garamond" w:cs="Calibri"/>
              </w:rPr>
              <w:t>Limiti di indennizzo, franchigie e scoperti – Stop Loss di polizza</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le somme assicurate</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10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€ 40.000.000,00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409"/>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€ 30.000.000,00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r w:rsidRPr="009B649C">
              <w:rPr>
                <w:rFonts w:ascii="Garamond" w:hAnsi="Garamond" w:cs="Calibri"/>
                <w:kern w:val="2"/>
                <w:lang w:eastAsia="zh-CN"/>
              </w:rPr>
              <w:t>8</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r w:rsidRPr="009B649C">
              <w:rPr>
                <w:rFonts w:ascii="Garamond" w:hAnsi="Garamond" w:cs="Calibri"/>
              </w:rPr>
              <w:t>Limiti di indennizzo, franchigie e scoperti – Limite d’indennizzo Terremoto</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40% del valore per singolo fabbricato e relativo contenuto con massimo di € 5.000.000,00</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7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40% del valore per singolo fabbricato e relativo contenuto con massimo di € 7.500.000,00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93"/>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 xml:space="preserve">Variante 2): </w:t>
            </w:r>
            <w:r w:rsidRPr="009B649C">
              <w:rPr>
                <w:rFonts w:ascii="Garamond" w:hAnsi="Garamond"/>
                <w:sz w:val="20"/>
                <w:szCs w:val="20"/>
                <w:lang w:val="it-IT"/>
              </w:rPr>
              <w:t>80% del valore per singolo fabbricato e relativo contenuto con massimo di € 10.000.000,00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r w:rsidRPr="009B649C">
              <w:rPr>
                <w:rFonts w:ascii="Garamond" w:hAnsi="Garamond" w:cs="Calibri"/>
                <w:kern w:val="2"/>
                <w:lang w:eastAsia="zh-CN"/>
              </w:rPr>
              <w:t>9</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r w:rsidRPr="009B649C">
              <w:rPr>
                <w:rFonts w:ascii="Garamond" w:hAnsi="Garamond" w:cs="Calibri"/>
              </w:rPr>
              <w:t>Limiti di indennizzo, franchigie e scoperti – Limite d’indennizzo Inondazioni, alluvioni, allagamenti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40% del valore per singolo fabbricato e relativo contenuto con massimo di € 5.000.000,00</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40% del valore per singolo fabbricato e relativo contenuto con massimo di € 7.500.000,00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 xml:space="preserve">Variante 2): </w:t>
            </w:r>
            <w:r w:rsidRPr="009B649C">
              <w:rPr>
                <w:rFonts w:ascii="Garamond" w:hAnsi="Garamond"/>
                <w:sz w:val="20"/>
                <w:szCs w:val="20"/>
                <w:lang w:val="it-IT"/>
              </w:rPr>
              <w:t>80% del valore per singolo fabbricato e relativo contenuto con massimo di € 10.000.000,00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381"/>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r w:rsidRPr="009B649C">
              <w:rPr>
                <w:rFonts w:ascii="Garamond" w:hAnsi="Garamond" w:cs="Calibri"/>
                <w:kern w:val="2"/>
                <w:lang w:eastAsia="zh-CN"/>
              </w:rPr>
              <w:t>10</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r w:rsidRPr="009B649C">
              <w:rPr>
                <w:rFonts w:ascii="Garamond" w:hAnsi="Garamond" w:cs="Calibri"/>
              </w:rPr>
              <w:t>Limiti di indennizzo, franchigie e scoperti – Limite d’indennizzo Eventi atmosferici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80% del valore per singolo fabbricato e relativo contenuto.</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10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 xml:space="preserve">Variante 1): 80% del valore per singolo fabbricato e relativo contenuto con </w:t>
            </w:r>
            <w:r w:rsidRPr="009B649C">
              <w:rPr>
                <w:rFonts w:ascii="Garamond" w:hAnsi="Garamond" w:cs="Calibri"/>
                <w:sz w:val="20"/>
                <w:szCs w:val="20"/>
                <w:lang w:val="it-IT"/>
              </w:rPr>
              <w:lastRenderedPageBreak/>
              <w:t>massimo di € 8.000.000,00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kern w:val="2"/>
                <w:lang w:eastAsia="zh-CN"/>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80% del valore per singolo fabbricato e relativo contenuto con massimo di € 6.000.000,00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926"/>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r w:rsidRPr="009B649C">
              <w:rPr>
                <w:rFonts w:ascii="Garamond" w:hAnsi="Garamond" w:cs="Calibri"/>
                <w:kern w:val="2"/>
                <w:lang w:val="en-US" w:eastAsia="zh-CN"/>
              </w:rPr>
              <w:t>11</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 xml:space="preserve">Limiti di indennizzo, franchigie e scoperti – Limite d’indennizzo </w:t>
            </w:r>
            <w:r w:rsidRPr="009B649C">
              <w:rPr>
                <w:rFonts w:ascii="Garamond" w:hAnsi="Garamond"/>
                <w:sz w:val="20"/>
                <w:szCs w:val="20"/>
                <w:lang w:val="it-IT"/>
              </w:rPr>
              <w:t>Acqua condotta - spese di ricerca e riparazione dei danni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€ 50.000,00 per sinistro ed anno</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11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€ 100.000,00 per sinistro e anno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€ 150.000,00 per sinistro e anno</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r w:rsidRPr="009B649C">
              <w:rPr>
                <w:rFonts w:ascii="Garamond" w:hAnsi="Garamond" w:cs="Calibri"/>
                <w:kern w:val="2"/>
                <w:lang w:eastAsia="zh-CN"/>
              </w:rPr>
              <w:t>12</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 xml:space="preserve">Limiti di indennizzo, franchigie e scoperti – Limite d’indennizzo </w:t>
            </w:r>
            <w:r w:rsidRPr="009B649C">
              <w:rPr>
                <w:rFonts w:ascii="Garamond" w:hAnsi="Garamond"/>
                <w:sz w:val="20"/>
                <w:szCs w:val="20"/>
                <w:lang w:val="it-IT"/>
              </w:rPr>
              <w:t>Eventi Sociopolitici e Atti Vandalici</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80% del valore per singolo fabbricato e relativo contenuto.</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8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80% del valore per singolo fabbricato e relativo contenuto con massimo di € 8.000.000,00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80% del valore per singolo fabbricato e relativo contenuto con massimo di € 6.000.000,00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r w:rsidRPr="009B649C">
              <w:rPr>
                <w:rFonts w:ascii="Garamond" w:hAnsi="Garamond" w:cs="Calibri"/>
                <w:kern w:val="2"/>
                <w:lang w:val="en-US" w:eastAsia="zh-CN"/>
              </w:rPr>
              <w:t>1</w:t>
            </w:r>
            <w:r w:rsidRPr="009B649C">
              <w:rPr>
                <w:rFonts w:ascii="Garamond" w:hAnsi="Garamond" w:cs="Calibri"/>
                <w:kern w:val="2"/>
                <w:lang w:eastAsia="zh-CN"/>
              </w:rPr>
              <w:t>2</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 xml:space="preserve">Limiti di indennizzo, franchigie e scoperti – Limite d’indennizzo </w:t>
            </w:r>
            <w:r w:rsidRPr="009B649C">
              <w:rPr>
                <w:rFonts w:ascii="Garamond" w:hAnsi="Garamond"/>
                <w:sz w:val="20"/>
                <w:szCs w:val="20"/>
                <w:lang w:val="it-IT"/>
              </w:rPr>
              <w:t>Fenomeno elettrico ed elettronico</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€ 50.000,00 per sinistro ed anno</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8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€ 100.000,00 per sinistro e anno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2): € 150.000,00 per sinistro e anno</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5</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r w:rsidRPr="009B649C">
              <w:rPr>
                <w:rFonts w:ascii="Garamond" w:hAnsi="Garamond" w:cs="Calibri"/>
                <w:kern w:val="2"/>
                <w:lang w:eastAsia="zh-CN"/>
              </w:rPr>
              <w:t>13</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Norme che regolano il contratto in generale – Art. 4 Durata del contratto</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Pur essendo il contratto di durata poliennale, le Parti si riservano la facoltà di risolverlo alla scadenza di ciascun periodo assicurativo annuo mediante lettera raccomandata da inviarsi almeno 120 (centoventi) giorni prima della scadenza.</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3</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jc w:val="center"/>
              <w:rPr>
                <w:rFonts w:ascii="Garamond" w:hAnsi="Garamond" w:cs="Calibri"/>
              </w:rPr>
            </w:pPr>
          </w:p>
        </w:tc>
        <w:tc>
          <w:tcPr>
            <w:tcW w:w="1986" w:type="dxa"/>
            <w:vMerge/>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Pur essendo il contratto di durata poliennale, il solo Contraente ha facoltà di risolverlo alla scadenza di ciascun periodo assicurativo annuo mediante lettera raccomandata da inviarsi almeno 120 (centoventi) giorni prima della scadenza.</w:t>
            </w:r>
          </w:p>
        </w:tc>
        <w:tc>
          <w:tcPr>
            <w:tcW w:w="1134" w:type="dxa"/>
            <w:tcBorders>
              <w:top w:val="single" w:sz="4" w:space="0" w:color="auto"/>
              <w:left w:val="single" w:sz="4" w:space="0" w:color="auto"/>
              <w:bottom w:val="single" w:sz="18"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4" w:space="0" w:color="auto"/>
              <w:left w:val="single" w:sz="4" w:space="0" w:color="auto"/>
              <w:bottom w:val="single" w:sz="18"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jc w:val="center"/>
              <w:rPr>
                <w:rFonts w:ascii="Garamond" w:hAnsi="Garamond" w:cs="Calibri"/>
              </w:rPr>
            </w:pPr>
            <w:r w:rsidRPr="009B649C">
              <w:rPr>
                <w:rFonts w:ascii="Garamond" w:hAnsi="Garamond" w:cs="Calibri"/>
                <w:kern w:val="2"/>
                <w:lang w:eastAsia="zh-CN"/>
              </w:rPr>
              <w:lastRenderedPageBreak/>
              <w:t>14</w:t>
            </w:r>
          </w:p>
        </w:tc>
        <w:tc>
          <w:tcPr>
            <w:tcW w:w="1986" w:type="dxa"/>
            <w:vMerge w:val="restart"/>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35" w:right="217"/>
              <w:rPr>
                <w:rFonts w:ascii="Garamond" w:hAnsi="Garamond" w:cs="Calibri"/>
                <w:sz w:val="20"/>
                <w:szCs w:val="20"/>
                <w:lang w:val="it-IT"/>
              </w:rPr>
            </w:pPr>
            <w:r w:rsidRPr="009B649C">
              <w:rPr>
                <w:rFonts w:ascii="Garamond" w:hAnsi="Garamond" w:cs="Calibri"/>
                <w:sz w:val="20"/>
                <w:szCs w:val="20"/>
                <w:lang w:val="it-IT"/>
              </w:rPr>
              <w:t>Norme che regolano la liquidazione dei sinistri – Art. 1 – Obblighi in caso di sinistro</w:t>
            </w:r>
          </w:p>
        </w:tc>
        <w:tc>
          <w:tcPr>
            <w:tcW w:w="3792"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Opzione base: darne avviso all'Agenzia alla quale è assegnata la polizza oppure alla Società entro Opzione base trenta giorni da quando ne ha avuto conoscenza</w:t>
            </w:r>
          </w:p>
        </w:tc>
        <w:tc>
          <w:tcPr>
            <w:tcW w:w="1134" w:type="dxa"/>
            <w:tcBorders>
              <w:top w:val="single" w:sz="18"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0</w:t>
            </w:r>
          </w:p>
        </w:tc>
        <w:tc>
          <w:tcPr>
            <w:tcW w:w="2268" w:type="dxa"/>
            <w:tcBorders>
              <w:top w:val="single" w:sz="18"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r w:rsidR="009B649C" w:rsidRPr="00A221D9" w:rsidTr="009B649C">
        <w:trPr>
          <w:trHeight w:val="6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rPr>
                <w:rFonts w:ascii="Garamond" w:hAnsi="Garamond" w:cs="Calibri"/>
                <w:kern w:val="2"/>
                <w:lang w:eastAsia="zh-CN"/>
              </w:rPr>
            </w:pPr>
          </w:p>
        </w:tc>
        <w:tc>
          <w:tcPr>
            <w:tcW w:w="3792"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rPr>
                <w:rFonts w:ascii="Garamond" w:hAnsi="Garamond" w:cs="Calibri"/>
                <w:sz w:val="20"/>
                <w:szCs w:val="20"/>
                <w:lang w:val="it-IT"/>
              </w:rPr>
            </w:pPr>
            <w:r w:rsidRPr="009B649C">
              <w:rPr>
                <w:rFonts w:ascii="Garamond" w:hAnsi="Garamond" w:cs="Calibri"/>
                <w:sz w:val="20"/>
                <w:szCs w:val="20"/>
                <w:lang w:val="it-IT"/>
              </w:rPr>
              <w:t>Variante 1): darne avviso all'Agenzia alla quale è assegnata la polizza oppure alla Società entro Opzione base quarantacinque giorni da quando ne ha avuto conoscenza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r w:rsidRPr="009B649C">
              <w:rPr>
                <w:rFonts w:ascii="Garamond" w:hAnsi="Garamond" w:cs="Calibri"/>
                <w:sz w:val="20"/>
                <w:szCs w:val="20"/>
                <w:lang w:val="it-IT"/>
              </w:rPr>
              <w:t>2</w:t>
            </w:r>
          </w:p>
        </w:tc>
        <w:tc>
          <w:tcPr>
            <w:tcW w:w="2268" w:type="dxa"/>
            <w:tcBorders>
              <w:top w:val="single" w:sz="4" w:space="0" w:color="auto"/>
              <w:left w:val="single" w:sz="4" w:space="0" w:color="auto"/>
              <w:bottom w:val="single" w:sz="4" w:space="0" w:color="auto"/>
              <w:right w:val="single" w:sz="4" w:space="0" w:color="auto"/>
            </w:tcBorders>
          </w:tcPr>
          <w:p w:rsidR="009B649C" w:rsidRPr="009B649C" w:rsidRDefault="009B649C" w:rsidP="000D226D">
            <w:pPr>
              <w:pStyle w:val="Standard"/>
              <w:spacing w:after="0" w:line="320" w:lineRule="exact"/>
              <w:ind w:left="86" w:right="217"/>
              <w:jc w:val="center"/>
              <w:rPr>
                <w:rFonts w:ascii="Garamond" w:hAnsi="Garamond" w:cs="Calibri"/>
                <w:sz w:val="20"/>
                <w:szCs w:val="20"/>
                <w:lang w:val="it-IT"/>
              </w:rPr>
            </w:pPr>
          </w:p>
        </w:tc>
      </w:tr>
    </w:tbl>
    <w:p w:rsidR="009B649C" w:rsidRDefault="009B649C" w:rsidP="001A1CFE">
      <w:pPr>
        <w:pStyle w:val="Corpodeltesto"/>
        <w:jc w:val="center"/>
        <w:rPr>
          <w:rFonts w:asciiTheme="minorHAnsi" w:hAnsiTheme="minorHAnsi"/>
          <w:b/>
          <w:sz w:val="22"/>
          <w:szCs w:val="22"/>
        </w:rPr>
      </w:pPr>
    </w:p>
    <w:p w:rsidR="001A1CFE" w:rsidRDefault="007509FA" w:rsidP="0052545A">
      <w:pPr>
        <w:spacing w:after="200" w:line="276" w:lineRule="auto"/>
        <w:jc w:val="center"/>
        <w:rPr>
          <w:rFonts w:asciiTheme="minorHAnsi" w:hAnsiTheme="minorHAnsi"/>
          <w:b/>
          <w:sz w:val="22"/>
          <w:szCs w:val="22"/>
        </w:rPr>
      </w:pPr>
      <w:r>
        <w:rPr>
          <w:rFonts w:asciiTheme="minorHAnsi" w:hAnsiTheme="minorHAnsi"/>
          <w:b/>
          <w:sz w:val="22"/>
          <w:szCs w:val="22"/>
        </w:rPr>
        <w:t>OFFERTA ECONOMICA (</w:t>
      </w:r>
      <w:proofErr w:type="spellStart"/>
      <w:r>
        <w:rPr>
          <w:rFonts w:asciiTheme="minorHAnsi" w:hAnsiTheme="minorHAnsi"/>
          <w:b/>
          <w:sz w:val="22"/>
          <w:szCs w:val="22"/>
        </w:rPr>
        <w:t>max</w:t>
      </w:r>
      <w:proofErr w:type="spellEnd"/>
      <w:r>
        <w:rPr>
          <w:rFonts w:asciiTheme="minorHAnsi" w:hAnsiTheme="minorHAnsi"/>
          <w:b/>
          <w:sz w:val="22"/>
          <w:szCs w:val="22"/>
        </w:rPr>
        <w:t xml:space="preserve"> 2</w:t>
      </w:r>
      <w:r w:rsidR="001A1CFE">
        <w:rPr>
          <w:rFonts w:asciiTheme="minorHAnsi" w:hAnsiTheme="minorHAnsi"/>
          <w:b/>
          <w:sz w:val="22"/>
          <w:szCs w:val="22"/>
        </w:rPr>
        <w:t>0 punti)</w:t>
      </w:r>
    </w:p>
    <w:p w:rsidR="001A1CFE" w:rsidRPr="005369BF" w:rsidRDefault="001A1CFE" w:rsidP="001A1CFE">
      <w:pPr>
        <w:pStyle w:val="western"/>
      </w:pPr>
      <w:r w:rsidRPr="005369BF">
        <w:rPr>
          <w:rFonts w:ascii="Calibri" w:hAnsi="Calibri"/>
          <w:b/>
          <w:bCs/>
          <w:i/>
          <w:iCs/>
        </w:rPr>
        <w:t>una percentuale di ribasso unico del (in cifre)</w:t>
      </w:r>
      <w:r w:rsidRPr="005369BF">
        <w:rPr>
          <w:rFonts w:ascii="Calibri" w:hAnsi="Calibri"/>
          <w:b/>
          <w:bCs/>
        </w:rPr>
        <w:t xml:space="preserve"> </w:t>
      </w:r>
      <w:r w:rsidRPr="005369BF">
        <w:rPr>
          <w:rFonts w:ascii="Calibri" w:hAnsi="Calibri"/>
          <w:b/>
          <w:bCs/>
          <w:i/>
          <w:iCs/>
        </w:rPr>
        <w:t xml:space="preserve">_______,______%, </w:t>
      </w:r>
    </w:p>
    <w:p w:rsidR="001A1CFE" w:rsidRPr="005369BF" w:rsidRDefault="001A1CFE" w:rsidP="001A1CFE">
      <w:pPr>
        <w:pStyle w:val="western"/>
      </w:pPr>
      <w:r w:rsidRPr="005369BF">
        <w:rPr>
          <w:rFonts w:ascii="Calibri" w:hAnsi="Calibri"/>
          <w:b/>
          <w:bCs/>
          <w:i/>
          <w:iCs/>
        </w:rPr>
        <w:t>diconsi (in lettere)</w:t>
      </w:r>
      <w:r w:rsidRPr="005369BF">
        <w:rPr>
          <w:rFonts w:ascii="Calibri" w:hAnsi="Calibri"/>
          <w:b/>
          <w:bCs/>
        </w:rPr>
        <w:t xml:space="preserve"> _______________________________________________________ </w:t>
      </w:r>
      <w:r w:rsidRPr="005369BF">
        <w:rPr>
          <w:rFonts w:ascii="Calibri" w:hAnsi="Calibri"/>
          <w:b/>
          <w:bCs/>
          <w:i/>
          <w:iCs/>
        </w:rPr>
        <w:t xml:space="preserve">per cento, rispetto al premio </w:t>
      </w:r>
      <w:r w:rsidR="007509FA">
        <w:rPr>
          <w:rFonts w:ascii="Calibri" w:hAnsi="Calibri"/>
          <w:b/>
          <w:bCs/>
          <w:i/>
          <w:iCs/>
        </w:rPr>
        <w:t xml:space="preserve">annuo </w:t>
      </w:r>
      <w:r w:rsidRPr="005369BF">
        <w:rPr>
          <w:rFonts w:ascii="Calibri" w:hAnsi="Calibri"/>
          <w:b/>
          <w:bCs/>
          <w:i/>
          <w:iCs/>
        </w:rPr>
        <w:t xml:space="preserve">lordo a base di gara pari ad € </w:t>
      </w:r>
      <w:r w:rsidR="009B649C">
        <w:rPr>
          <w:rFonts w:ascii="Calibri" w:hAnsi="Calibri"/>
          <w:b/>
          <w:bCs/>
          <w:i/>
          <w:iCs/>
        </w:rPr>
        <w:t>6</w:t>
      </w:r>
      <w:r w:rsidR="007509FA">
        <w:rPr>
          <w:rFonts w:ascii="Calibri" w:hAnsi="Calibri"/>
          <w:b/>
          <w:bCs/>
          <w:i/>
          <w:iCs/>
        </w:rPr>
        <w:t>5</w:t>
      </w:r>
      <w:r w:rsidRPr="005369BF">
        <w:rPr>
          <w:rFonts w:ascii="Calibri" w:hAnsi="Calibri"/>
          <w:b/>
          <w:bCs/>
          <w:i/>
          <w:iCs/>
        </w:rPr>
        <w:t>.000,00</w:t>
      </w:r>
    </w:p>
    <w:p w:rsidR="001A1CFE" w:rsidRPr="005369BF" w:rsidRDefault="001A1CFE" w:rsidP="001A1CFE">
      <w:pPr>
        <w:pStyle w:val="western"/>
        <w:spacing w:line="360" w:lineRule="auto"/>
      </w:pPr>
      <w:r w:rsidRPr="005369BF">
        <w:rPr>
          <w:rFonts w:ascii="Calibri" w:hAnsi="Calibri"/>
          <w:u w:val="single"/>
        </w:rPr>
        <w:t>Nota Bene</w:t>
      </w:r>
      <w:r w:rsidRPr="005369BF">
        <w:rPr>
          <w:rFonts w:ascii="Calibri" w:hAnsi="Calibri"/>
        </w:rPr>
        <w:t>: il</w:t>
      </w:r>
      <w:r w:rsidRPr="005369BF">
        <w:rPr>
          <w:rFonts w:ascii="Calibri" w:hAnsi="Calibri"/>
          <w:i/>
          <w:iCs/>
        </w:rPr>
        <w:t xml:space="preserve"> ribasso non può essere espresso con più di </w:t>
      </w:r>
      <w:r w:rsidRPr="005369BF">
        <w:rPr>
          <w:rFonts w:ascii="Calibri" w:hAnsi="Calibri"/>
          <w:b/>
          <w:bCs/>
          <w:i/>
          <w:iCs/>
        </w:rPr>
        <w:t>tre cifre decimali.</w:t>
      </w:r>
    </w:p>
    <w:p w:rsidR="001A1CFE" w:rsidRPr="004A2118" w:rsidRDefault="001A1CFE" w:rsidP="001A1CFE">
      <w:pPr>
        <w:pStyle w:val="Corpodeltesto"/>
        <w:rPr>
          <w:rFonts w:asciiTheme="minorHAnsi" w:hAnsiTheme="minorHAnsi"/>
          <w:b/>
          <w:sz w:val="22"/>
          <w:szCs w:val="22"/>
        </w:rPr>
      </w:pPr>
    </w:p>
    <w:p w:rsidR="001A1CFE" w:rsidRDefault="001A1CFE" w:rsidP="005C6A42">
      <w:pPr>
        <w:spacing w:after="200" w:line="276" w:lineRule="auto"/>
        <w:rPr>
          <w:rFonts w:asciiTheme="minorHAnsi" w:hAnsiTheme="minorHAnsi"/>
          <w:sz w:val="22"/>
          <w:szCs w:val="22"/>
        </w:rPr>
      </w:pPr>
      <w:r w:rsidRPr="004A2118">
        <w:rPr>
          <w:rFonts w:asciiTheme="minorHAnsi" w:hAnsiTheme="minorHAnsi"/>
          <w:sz w:val="22"/>
          <w:szCs w:val="22"/>
        </w:rPr>
        <w:t xml:space="preserve">Data, </w:t>
      </w:r>
      <w:proofErr w:type="spellStart"/>
      <w:r w:rsidRPr="004A2118">
        <w:rPr>
          <w:rFonts w:asciiTheme="minorHAnsi" w:hAnsiTheme="minorHAnsi"/>
          <w:sz w:val="22"/>
          <w:szCs w:val="22"/>
        </w:rPr>
        <w:t>………………………………</w:t>
      </w:r>
      <w:proofErr w:type="spellEnd"/>
      <w:r w:rsidRPr="004A2118">
        <w:rPr>
          <w:rFonts w:asciiTheme="minorHAnsi" w:hAnsiTheme="minorHAnsi"/>
          <w:sz w:val="22"/>
          <w:szCs w:val="22"/>
        </w:rPr>
        <w:t>.</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CONCORRENTE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52545A"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sectPr w:rsidR="0052545A" w:rsidRPr="0052545A" w:rsidSect="00C25D8E">
      <w:pgSz w:w="11906" w:h="16838"/>
      <w:pgMar w:top="1418" w:right="96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38"/>
    <w:multiLevelType w:val="multilevel"/>
    <w:tmpl w:val="1C4C15E0"/>
    <w:lvl w:ilvl="0">
      <w:start w:val="10"/>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
    <w:nsid w:val="1E6D7C62"/>
    <w:multiLevelType w:val="multilevel"/>
    <w:tmpl w:val="413ADDF6"/>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22CE76FD"/>
    <w:multiLevelType w:val="multilevel"/>
    <w:tmpl w:val="19E83058"/>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nsid w:val="22F96747"/>
    <w:multiLevelType w:val="hybridMultilevel"/>
    <w:tmpl w:val="74D6C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FD0ECD"/>
    <w:multiLevelType w:val="hybridMultilevel"/>
    <w:tmpl w:val="EBE668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C3B7201"/>
    <w:multiLevelType w:val="hybridMultilevel"/>
    <w:tmpl w:val="D500D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5F748D"/>
    <w:multiLevelType w:val="hybridMultilevel"/>
    <w:tmpl w:val="44F6030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0F526A"/>
    <w:multiLevelType w:val="multilevel"/>
    <w:tmpl w:val="E244F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D1A158F"/>
    <w:multiLevelType w:val="multilevel"/>
    <w:tmpl w:val="91004800"/>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9">
    <w:nsid w:val="5B65046B"/>
    <w:multiLevelType w:val="hybridMultilevel"/>
    <w:tmpl w:val="43EC3692"/>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B8A048D"/>
    <w:multiLevelType w:val="multilevel"/>
    <w:tmpl w:val="9A4CD54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nsid w:val="5D2767DC"/>
    <w:multiLevelType w:val="multilevel"/>
    <w:tmpl w:val="3CCA612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nsid w:val="5FA0397A"/>
    <w:multiLevelType w:val="hybridMultilevel"/>
    <w:tmpl w:val="2C94B2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F75C2B"/>
    <w:multiLevelType w:val="hybridMultilevel"/>
    <w:tmpl w:val="88E640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C6650ED"/>
    <w:multiLevelType w:val="hybridMultilevel"/>
    <w:tmpl w:val="41444BC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9F7747"/>
    <w:multiLevelType w:val="hybridMultilevel"/>
    <w:tmpl w:val="6F4AE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5777B2"/>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14"/>
  </w:num>
  <w:num w:numId="3">
    <w:abstractNumId w:val="15"/>
  </w:num>
  <w:num w:numId="4">
    <w:abstractNumId w:val="6"/>
  </w:num>
  <w:num w:numId="5">
    <w:abstractNumId w:val="9"/>
  </w:num>
  <w:num w:numId="6">
    <w:abstractNumId w:val="5"/>
  </w:num>
  <w:num w:numId="7">
    <w:abstractNumId w:val="13"/>
  </w:num>
  <w:num w:numId="8">
    <w:abstractNumId w:val="12"/>
  </w:num>
  <w:num w:numId="9">
    <w:abstractNumId w:val="8"/>
  </w:num>
  <w:num w:numId="10">
    <w:abstractNumId w:val="7"/>
  </w:num>
  <w:num w:numId="11">
    <w:abstractNumId w:val="2"/>
  </w:num>
  <w:num w:numId="12">
    <w:abstractNumId w:val="0"/>
  </w:num>
  <w:num w:numId="13">
    <w:abstractNumId w:val="10"/>
  </w:num>
  <w:num w:numId="14">
    <w:abstractNumId w:val="1"/>
  </w:num>
  <w:num w:numId="15">
    <w:abstractNumId w:val="11"/>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79D1"/>
    <w:rsid w:val="000078D9"/>
    <w:rsid w:val="00052F5F"/>
    <w:rsid w:val="0008043E"/>
    <w:rsid w:val="00092DF5"/>
    <w:rsid w:val="000B0D94"/>
    <w:rsid w:val="000D6CE6"/>
    <w:rsid w:val="0010454D"/>
    <w:rsid w:val="0011121D"/>
    <w:rsid w:val="00163366"/>
    <w:rsid w:val="00164A46"/>
    <w:rsid w:val="00187C20"/>
    <w:rsid w:val="001A1CFE"/>
    <w:rsid w:val="00226C3A"/>
    <w:rsid w:val="00233448"/>
    <w:rsid w:val="00275111"/>
    <w:rsid w:val="002C7FEF"/>
    <w:rsid w:val="0030232B"/>
    <w:rsid w:val="003039B8"/>
    <w:rsid w:val="00310065"/>
    <w:rsid w:val="00327F42"/>
    <w:rsid w:val="003730C5"/>
    <w:rsid w:val="003B2FF4"/>
    <w:rsid w:val="003B5E77"/>
    <w:rsid w:val="003D3769"/>
    <w:rsid w:val="003D72BB"/>
    <w:rsid w:val="004044FE"/>
    <w:rsid w:val="00410B0D"/>
    <w:rsid w:val="00433FE3"/>
    <w:rsid w:val="0043538A"/>
    <w:rsid w:val="00443CAE"/>
    <w:rsid w:val="004749F6"/>
    <w:rsid w:val="00494C4B"/>
    <w:rsid w:val="004A2118"/>
    <w:rsid w:val="004F601F"/>
    <w:rsid w:val="00500BB9"/>
    <w:rsid w:val="0051120E"/>
    <w:rsid w:val="005147C8"/>
    <w:rsid w:val="0052545A"/>
    <w:rsid w:val="00526D02"/>
    <w:rsid w:val="005369BF"/>
    <w:rsid w:val="005560FD"/>
    <w:rsid w:val="00557092"/>
    <w:rsid w:val="0056190A"/>
    <w:rsid w:val="005917E4"/>
    <w:rsid w:val="00593557"/>
    <w:rsid w:val="005A786C"/>
    <w:rsid w:val="005C6A42"/>
    <w:rsid w:val="006132C7"/>
    <w:rsid w:val="006238CC"/>
    <w:rsid w:val="00642C95"/>
    <w:rsid w:val="00654122"/>
    <w:rsid w:val="00692C62"/>
    <w:rsid w:val="006E5D73"/>
    <w:rsid w:val="006E6627"/>
    <w:rsid w:val="006F7298"/>
    <w:rsid w:val="007062D7"/>
    <w:rsid w:val="00730BC3"/>
    <w:rsid w:val="00735577"/>
    <w:rsid w:val="007509FA"/>
    <w:rsid w:val="007904D3"/>
    <w:rsid w:val="00797DA7"/>
    <w:rsid w:val="007D0CC3"/>
    <w:rsid w:val="00831B04"/>
    <w:rsid w:val="0084722D"/>
    <w:rsid w:val="00861B30"/>
    <w:rsid w:val="00876D5E"/>
    <w:rsid w:val="008843FA"/>
    <w:rsid w:val="00886DEE"/>
    <w:rsid w:val="008A60B9"/>
    <w:rsid w:val="008B1075"/>
    <w:rsid w:val="008B7E61"/>
    <w:rsid w:val="009077B0"/>
    <w:rsid w:val="00917190"/>
    <w:rsid w:val="009372A2"/>
    <w:rsid w:val="00944FD8"/>
    <w:rsid w:val="009979D1"/>
    <w:rsid w:val="009A76DA"/>
    <w:rsid w:val="009B649C"/>
    <w:rsid w:val="009E33CB"/>
    <w:rsid w:val="00A40450"/>
    <w:rsid w:val="00A43DA9"/>
    <w:rsid w:val="00A67785"/>
    <w:rsid w:val="00AD428A"/>
    <w:rsid w:val="00B03256"/>
    <w:rsid w:val="00B60788"/>
    <w:rsid w:val="00BB70F6"/>
    <w:rsid w:val="00BC4624"/>
    <w:rsid w:val="00C13155"/>
    <w:rsid w:val="00C23CE1"/>
    <w:rsid w:val="00C25D8E"/>
    <w:rsid w:val="00C44F08"/>
    <w:rsid w:val="00C70D27"/>
    <w:rsid w:val="00D27419"/>
    <w:rsid w:val="00D66A05"/>
    <w:rsid w:val="00D86799"/>
    <w:rsid w:val="00D9176A"/>
    <w:rsid w:val="00DE2C0A"/>
    <w:rsid w:val="00E25124"/>
    <w:rsid w:val="00E624D5"/>
    <w:rsid w:val="00E85AA4"/>
    <w:rsid w:val="00EF43ED"/>
    <w:rsid w:val="00F05090"/>
    <w:rsid w:val="00F90EC3"/>
    <w:rsid w:val="00F93F7A"/>
    <w:rsid w:val="00FF51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9D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Titolo2"/>
    <w:link w:val="Titolo1Carattere"/>
    <w:qFormat/>
    <w:rsid w:val="00327F42"/>
    <w:pPr>
      <w:keepNext/>
      <w:keepLines/>
      <w:spacing w:before="100" w:beforeAutospacing="1" w:after="100" w:afterAutospacing="1" w:line="276" w:lineRule="auto"/>
      <w:jc w:val="center"/>
      <w:outlineLvl w:val="0"/>
    </w:pPr>
    <w:rPr>
      <w:rFonts w:ascii="Garamond" w:eastAsia="Calibri" w:hAnsi="Garamond"/>
      <w:b/>
      <w:bCs/>
      <w:sz w:val="28"/>
      <w:szCs w:val="28"/>
      <w:lang w:eastAsia="en-US"/>
    </w:rPr>
  </w:style>
  <w:style w:type="paragraph" w:styleId="Titolo2">
    <w:name w:val="heading 2"/>
    <w:basedOn w:val="Normale"/>
    <w:next w:val="Normale"/>
    <w:link w:val="Titolo2Carattere"/>
    <w:uiPriority w:val="9"/>
    <w:semiHidden/>
    <w:unhideWhenUsed/>
    <w:qFormat/>
    <w:rsid w:val="00327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369B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4A2118"/>
    <w:pPr>
      <w:spacing w:before="240" w:after="60"/>
      <w:outlineLvl w:val="4"/>
    </w:pPr>
    <w:rPr>
      <w:b/>
      <w:bCs/>
      <w:i/>
      <w:iCs/>
      <w:sz w:val="26"/>
      <w:szCs w:val="26"/>
    </w:rPr>
  </w:style>
  <w:style w:type="paragraph" w:styleId="Titolo9">
    <w:name w:val="heading 9"/>
    <w:basedOn w:val="Normale"/>
    <w:next w:val="Normale"/>
    <w:link w:val="Titolo9Carattere"/>
    <w:qFormat/>
    <w:rsid w:val="004A2118"/>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9979D1"/>
    <w:pPr>
      <w:suppressAutoHyphens/>
      <w:textAlignment w:val="baseline"/>
    </w:pPr>
    <w:rPr>
      <w:rFonts w:ascii="Calibri" w:eastAsia="Times New Roman" w:hAnsi="Calibri" w:cs="Times New Roman"/>
      <w:kern w:val="1"/>
      <w:lang w:val="en-US" w:eastAsia="zh-CN"/>
    </w:rPr>
  </w:style>
  <w:style w:type="paragraph" w:styleId="Corpodeltesto">
    <w:name w:val="Body Text"/>
    <w:basedOn w:val="Normale"/>
    <w:link w:val="CorpodeltestoCarattere"/>
    <w:rsid w:val="009979D1"/>
    <w:pPr>
      <w:jc w:val="both"/>
    </w:pPr>
    <w:rPr>
      <w:sz w:val="24"/>
    </w:rPr>
  </w:style>
  <w:style w:type="character" w:customStyle="1" w:styleId="CorpodeltestoCarattere">
    <w:name w:val="Corpo del testo Carattere"/>
    <w:basedOn w:val="Carpredefinitoparagrafo"/>
    <w:link w:val="Corpodeltesto"/>
    <w:rsid w:val="009979D1"/>
    <w:rPr>
      <w:rFonts w:ascii="Times New Roman" w:eastAsia="Times New Roman" w:hAnsi="Times New Roman" w:cs="Times New Roman"/>
      <w:sz w:val="24"/>
      <w:szCs w:val="20"/>
      <w:lang w:eastAsia="it-IT"/>
    </w:rPr>
  </w:style>
  <w:style w:type="table" w:styleId="Grigliatabella">
    <w:name w:val="Table Grid"/>
    <w:basedOn w:val="Tabellanormale"/>
    <w:uiPriority w:val="59"/>
    <w:rsid w:val="009A7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A76DA"/>
    <w:pPr>
      <w:ind w:left="720"/>
      <w:contextualSpacing/>
    </w:pPr>
  </w:style>
  <w:style w:type="character" w:customStyle="1" w:styleId="Titolo5Carattere">
    <w:name w:val="Titolo 5 Carattere"/>
    <w:basedOn w:val="Carpredefinitoparagrafo"/>
    <w:link w:val="Titolo5"/>
    <w:rsid w:val="004A2118"/>
    <w:rPr>
      <w:rFonts w:ascii="Times New Roman" w:eastAsia="Times New Roman" w:hAnsi="Times New Roman" w:cs="Times New Roman"/>
      <w:b/>
      <w:bCs/>
      <w:i/>
      <w:iCs/>
      <w:sz w:val="26"/>
      <w:szCs w:val="26"/>
      <w:lang w:eastAsia="it-IT"/>
    </w:rPr>
  </w:style>
  <w:style w:type="character" w:customStyle="1" w:styleId="Titolo9Carattere">
    <w:name w:val="Titolo 9 Carattere"/>
    <w:basedOn w:val="Carpredefinitoparagrafo"/>
    <w:link w:val="Titolo9"/>
    <w:rsid w:val="004A2118"/>
    <w:rPr>
      <w:rFonts w:ascii="Arial" w:eastAsia="Times New Roman" w:hAnsi="Arial" w:cs="Times New Roman"/>
      <w:lang w:eastAsia="it-IT"/>
    </w:rPr>
  </w:style>
  <w:style w:type="paragraph" w:customStyle="1" w:styleId="western">
    <w:name w:val="western"/>
    <w:basedOn w:val="Normale"/>
    <w:rsid w:val="00557092"/>
    <w:pPr>
      <w:spacing w:before="100" w:beforeAutospacing="1"/>
      <w:jc w:val="both"/>
    </w:pPr>
    <w:rPr>
      <w:sz w:val="24"/>
      <w:szCs w:val="24"/>
    </w:rPr>
  </w:style>
  <w:style w:type="character" w:customStyle="1" w:styleId="Titolo3Carattere">
    <w:name w:val="Titolo 3 Carattere"/>
    <w:basedOn w:val="Carpredefinitoparagrafo"/>
    <w:link w:val="Titolo3"/>
    <w:uiPriority w:val="9"/>
    <w:semiHidden/>
    <w:rsid w:val="005369BF"/>
    <w:rPr>
      <w:rFonts w:asciiTheme="majorHAnsi" w:eastAsiaTheme="majorEastAsia" w:hAnsiTheme="majorHAnsi" w:cstheme="majorBidi"/>
      <w:b/>
      <w:bCs/>
      <w:color w:val="4F81BD" w:themeColor="accent1"/>
      <w:sz w:val="20"/>
      <w:szCs w:val="20"/>
      <w:lang w:eastAsia="it-IT"/>
    </w:rPr>
  </w:style>
  <w:style w:type="character" w:customStyle="1" w:styleId="Titolo1Carattere">
    <w:name w:val="Titolo 1 Carattere"/>
    <w:basedOn w:val="Carpredefinitoparagrafo"/>
    <w:link w:val="Titolo1"/>
    <w:rsid w:val="00327F42"/>
    <w:rPr>
      <w:rFonts w:ascii="Garamond" w:eastAsia="Calibri" w:hAnsi="Garamond" w:cs="Times New Roman"/>
      <w:b/>
      <w:bCs/>
      <w:sz w:val="28"/>
      <w:szCs w:val="28"/>
    </w:rPr>
  </w:style>
  <w:style w:type="character" w:customStyle="1" w:styleId="Titolo2Carattere">
    <w:name w:val="Titolo 2 Carattere"/>
    <w:basedOn w:val="Carpredefinitoparagrafo"/>
    <w:link w:val="Titolo2"/>
    <w:uiPriority w:val="9"/>
    <w:semiHidden/>
    <w:rsid w:val="00327F4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458573891">
      <w:bodyDiv w:val="1"/>
      <w:marLeft w:val="0"/>
      <w:marRight w:val="0"/>
      <w:marTop w:val="0"/>
      <w:marBottom w:val="0"/>
      <w:divBdr>
        <w:top w:val="none" w:sz="0" w:space="0" w:color="auto"/>
        <w:left w:val="none" w:sz="0" w:space="0" w:color="auto"/>
        <w:bottom w:val="none" w:sz="0" w:space="0" w:color="auto"/>
        <w:right w:val="none" w:sz="0" w:space="0" w:color="auto"/>
      </w:divBdr>
    </w:div>
    <w:div w:id="14334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AB16-29C3-4245-9AF3-6CEECC75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1036</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Coppo</dc:creator>
  <cp:lastModifiedBy>federico.corich</cp:lastModifiedBy>
  <cp:revision>3</cp:revision>
  <cp:lastPrinted>2018-11-29T11:26:00Z</cp:lastPrinted>
  <dcterms:created xsi:type="dcterms:W3CDTF">2018-11-29T14:03:00Z</dcterms:created>
  <dcterms:modified xsi:type="dcterms:W3CDTF">2018-11-29T14:07:00Z</dcterms:modified>
</cp:coreProperties>
</file>